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827B1">
        <w:tc>
          <w:tcPr>
            <w:tcW w:w="954" w:type="pct"/>
            <w:vAlign w:val="center"/>
          </w:tcPr>
          <w:p w:rsidR="00C26748" w:rsidRDefault="007F50C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سم‌شناسی</w:t>
            </w:r>
          </w:p>
        </w:tc>
        <w:tc>
          <w:tcPr>
            <w:tcW w:w="507" w:type="pct"/>
            <w:vAlign w:val="center"/>
          </w:tcPr>
          <w:p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6F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46" w:type="pct"/>
            <w:vAlign w:val="center"/>
          </w:tcPr>
          <w:p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C26748" w:rsidRDefault="007F50C1" w:rsidP="007F50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یک‌</w:t>
            </w:r>
            <w:r w:rsidR="00E56A3C">
              <w:rPr>
                <w:rFonts w:hint="cs"/>
                <w:rtl/>
                <w:lang w:bidi="fa-IR"/>
              </w:rPr>
              <w:t xml:space="preserve">شنبه‌ها </w:t>
            </w:r>
            <w:r>
              <w:rPr>
                <w:rFonts w:hint="cs"/>
                <w:rtl/>
                <w:lang w:bidi="fa-IR"/>
              </w:rPr>
              <w:t>9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45</w:t>
            </w:r>
            <w:r w:rsidR="00E56A3C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8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0</w:t>
            </w:r>
            <w:r w:rsidR="00C40524">
              <w:rPr>
                <w:rFonts w:hint="cs"/>
                <w:rtl/>
                <w:lang w:bidi="fa-IR"/>
              </w:rPr>
              <w:t>0</w:t>
            </w:r>
            <w:r w:rsidR="00E56A3C">
              <w:rPr>
                <w:rFonts w:hint="cs"/>
                <w:rtl/>
                <w:lang w:bidi="fa-IR"/>
              </w:rPr>
              <w:t xml:space="preserve"> </w:t>
            </w:r>
            <w:r w:rsidR="00597722">
              <w:rPr>
                <w:rFonts w:hint="cs"/>
                <w:rtl/>
                <w:lang w:bidi="fa-IR"/>
              </w:rPr>
              <w:t>نظری</w:t>
            </w:r>
          </w:p>
          <w:p w:rsidR="00E56A3C" w:rsidRDefault="00C40524" w:rsidP="00C46F0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E56A3C">
              <w:rPr>
                <w:rFonts w:hint="cs"/>
                <w:rtl/>
                <w:lang w:bidi="fa-IR"/>
              </w:rPr>
              <w:t xml:space="preserve">‌شنبه‌ها </w:t>
            </w:r>
            <w:r w:rsidR="00C46F03">
              <w:rPr>
                <w:rFonts w:hint="cs"/>
                <w:rtl/>
                <w:lang w:bidi="fa-IR"/>
              </w:rPr>
              <w:t>19:00</w:t>
            </w:r>
            <w:r w:rsidR="00E56A3C">
              <w:rPr>
                <w:rFonts w:hint="cs"/>
                <w:rtl/>
                <w:lang w:bidi="fa-IR"/>
              </w:rPr>
              <w:t>-</w:t>
            </w:r>
            <w:r w:rsidR="00C46F03">
              <w:rPr>
                <w:rFonts w:hint="cs"/>
                <w:rtl/>
                <w:lang w:bidi="fa-IR"/>
              </w:rPr>
              <w:t>17:30</w:t>
            </w:r>
            <w:r w:rsidR="00E56A3C">
              <w:rPr>
                <w:rFonts w:hint="cs"/>
                <w:rtl/>
                <w:lang w:bidi="fa-IR"/>
              </w:rPr>
              <w:t xml:space="preserve"> ع</w:t>
            </w:r>
            <w:r w:rsidR="00F827B1">
              <w:rPr>
                <w:rFonts w:hint="cs"/>
                <w:rtl/>
                <w:lang w:bidi="fa-IR"/>
              </w:rPr>
              <w:t xml:space="preserve">ملی 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:rsidR="00C26748" w:rsidRDefault="007F50C1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:rsidR="00C26748" w:rsidRDefault="007F50C1" w:rsidP="00F827B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>اختیاری</w:t>
            </w:r>
            <w:r w:rsidR="00C46F03">
              <w:rPr>
                <w:lang w:bidi="fa-IR"/>
              </w:rPr>
              <w:t xml:space="preserve"> 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26748" w:rsidRDefault="007F50C1" w:rsidP="007F50C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C46F03">
              <w:rPr>
                <w:rFonts w:hint="cs"/>
                <w:rtl/>
                <w:lang w:bidi="fa-IR"/>
              </w:rPr>
              <w:t xml:space="preserve"> </w:t>
            </w:r>
            <w:r w:rsidR="00F827B1">
              <w:rPr>
                <w:rFonts w:hint="cs"/>
                <w:rtl/>
                <w:lang w:bidi="fa-IR"/>
              </w:rPr>
              <w:t>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7F50C1">
        <w:trPr>
          <w:trHeight w:val="755"/>
        </w:trPr>
        <w:tc>
          <w:tcPr>
            <w:tcW w:w="5000" w:type="pct"/>
          </w:tcPr>
          <w:p w:rsidR="00C16AA2" w:rsidRPr="00C44141" w:rsidRDefault="00C46F03" w:rsidP="007F50C1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 نیاز ندارد.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7F50C1">
        <w:trPr>
          <w:trHeight w:val="458"/>
        </w:trPr>
        <w:tc>
          <w:tcPr>
            <w:tcW w:w="5000" w:type="pct"/>
          </w:tcPr>
          <w:p w:rsidR="00A76F32" w:rsidRPr="00A76F32" w:rsidRDefault="00A76F32" w:rsidP="007F50C1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F50C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7F50C1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7F50C1"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76F3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F50C1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F50C1" w:rsidRDefault="007F50C1" w:rsidP="007F50C1">
            <w:pPr>
              <w:pStyle w:val="ListParagraph"/>
              <w:numPr>
                <w:ilvl w:val="0"/>
                <w:numId w:val="28"/>
              </w:numPr>
              <w:bidi w:val="0"/>
              <w:rPr>
                <w:lang w:bidi="fa-IR"/>
              </w:rPr>
            </w:pPr>
            <w:r w:rsidRPr="007F50C1">
              <w:rPr>
                <w:b/>
                <w:bCs/>
                <w:lang w:bidi="fa-IR"/>
              </w:rPr>
              <w:t>Hodgson, E</w:t>
            </w:r>
            <w:r w:rsidRPr="007F50C1">
              <w:rPr>
                <w:lang w:bidi="fa-IR"/>
              </w:rPr>
              <w:t>. 2004. A Textbook of Modern Toxicology, 4th Edition. Wiley Press.</w:t>
            </w:r>
          </w:p>
          <w:p w:rsidR="00C46F03" w:rsidRPr="003354EE" w:rsidRDefault="007F50C1" w:rsidP="007F50C1">
            <w:pPr>
              <w:pStyle w:val="ListParagraph"/>
              <w:numPr>
                <w:ilvl w:val="0"/>
                <w:numId w:val="28"/>
              </w:numPr>
              <w:bidi w:val="0"/>
              <w:rPr>
                <w:lang w:bidi="fa-IR"/>
              </w:rPr>
            </w:pPr>
            <w:proofErr w:type="spellStart"/>
            <w:r w:rsidRPr="007F50C1">
              <w:rPr>
                <w:b/>
                <w:bCs/>
                <w:lang w:bidi="fa-IR"/>
              </w:rPr>
              <w:t>Streibig</w:t>
            </w:r>
            <w:proofErr w:type="spellEnd"/>
            <w:r w:rsidRPr="007F50C1">
              <w:rPr>
                <w:b/>
                <w:bCs/>
                <w:lang w:bidi="fa-IR"/>
              </w:rPr>
              <w:t xml:space="preserve">, J. C. and </w:t>
            </w:r>
            <w:proofErr w:type="spellStart"/>
            <w:r w:rsidRPr="007F50C1">
              <w:rPr>
                <w:b/>
                <w:bCs/>
                <w:lang w:bidi="fa-IR"/>
              </w:rPr>
              <w:t>Kudsk</w:t>
            </w:r>
            <w:proofErr w:type="spellEnd"/>
            <w:r w:rsidRPr="007F50C1">
              <w:rPr>
                <w:b/>
                <w:bCs/>
                <w:lang w:bidi="fa-IR"/>
              </w:rPr>
              <w:t xml:space="preserve">, P. </w:t>
            </w:r>
            <w:r w:rsidRPr="007F50C1">
              <w:rPr>
                <w:lang w:bidi="fa-IR"/>
              </w:rPr>
              <w:t>2000. Herbicide Bioassays. CRC Press.</w:t>
            </w:r>
          </w:p>
        </w:tc>
      </w:tr>
    </w:tbl>
    <w:p w:rsidR="00F73A18" w:rsidRDefault="00F73A18" w:rsidP="00B53F72">
      <w:pPr>
        <w:ind w:firstLine="0"/>
        <w:rPr>
          <w:rtl/>
          <w:lang w:bidi="fa-IR"/>
        </w:rPr>
      </w:pPr>
    </w:p>
    <w:p w:rsidR="007F50C1" w:rsidRDefault="007F50C1" w:rsidP="00B53F72">
      <w:pPr>
        <w:ind w:firstLine="0"/>
        <w:rPr>
          <w:rtl/>
          <w:lang w:bidi="fa-IR"/>
        </w:rPr>
      </w:pPr>
    </w:p>
    <w:p w:rsidR="007F50C1" w:rsidRDefault="007F50C1" w:rsidP="00B53F72">
      <w:pPr>
        <w:ind w:firstLine="0"/>
        <w:rPr>
          <w:rtl/>
          <w:lang w:bidi="fa-IR"/>
        </w:rPr>
      </w:pPr>
    </w:p>
    <w:p w:rsidR="007F50C1" w:rsidRDefault="007F50C1" w:rsidP="00B53F72">
      <w:pPr>
        <w:ind w:firstLine="0"/>
        <w:rPr>
          <w:rtl/>
          <w:lang w:bidi="fa-IR"/>
        </w:rPr>
      </w:pPr>
    </w:p>
    <w:p w:rsidR="007F50C1" w:rsidRDefault="007F50C1" w:rsidP="00B53F72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F50C1">
        <w:trPr>
          <w:trHeight w:val="162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D1066" w:rsidRDefault="00A51E3F" w:rsidP="00DD1066">
            <w:pPr>
              <w:autoSpaceDE w:val="0"/>
              <w:autoSpaceDN w:val="0"/>
              <w:adjustRightInd w:val="0"/>
              <w:spacing w:before="120"/>
              <w:ind w:left="61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0D37BE" w:rsidRPr="00DD1066" w:rsidRDefault="007F50C1" w:rsidP="007F50C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3"/>
              <w:rPr>
                <w:rFonts w:ascii="TimesNewRoman,Bold" w:hAnsi="TimesNewRoman,Bold"/>
                <w:rtl/>
                <w:lang w:bidi="fa-IR"/>
              </w:rPr>
            </w:pPr>
            <w:r w:rsidRPr="007F50C1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7F50C1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7F50C1">
              <w:rPr>
                <w:rFonts w:ascii="TimesNewRoman,Bold" w:hAnsi="TimesNewRoman,Bold"/>
                <w:rtl/>
                <w:lang w:bidi="fa-IR"/>
              </w:rPr>
              <w:t xml:space="preserve"> دانشجو</w:t>
            </w:r>
            <w:r w:rsidRPr="007F50C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F50C1">
              <w:rPr>
                <w:rFonts w:ascii="TimesNewRoman,Bold" w:hAnsi="TimesNewRoman,Bold" w:hint="eastAsia"/>
                <w:rtl/>
                <w:lang w:bidi="fa-IR"/>
              </w:rPr>
              <w:t>ان</w:t>
            </w:r>
            <w:r w:rsidRPr="007F50C1">
              <w:rPr>
                <w:rFonts w:ascii="TimesNewRoman,Bold" w:hAnsi="TimesNewRoman,Bold"/>
                <w:rtl/>
                <w:lang w:bidi="fa-IR"/>
              </w:rPr>
              <w:t xml:space="preserve"> با مبان</w:t>
            </w:r>
            <w:r w:rsidRPr="007F50C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F50C1">
              <w:rPr>
                <w:rFonts w:ascii="TimesNewRoman,Bold" w:hAnsi="TimesNewRoman,Bold"/>
                <w:rtl/>
                <w:lang w:bidi="fa-IR"/>
              </w:rPr>
              <w:t xml:space="preserve"> سم شناس</w:t>
            </w:r>
            <w:r w:rsidRPr="007F50C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F50C1">
              <w:rPr>
                <w:rFonts w:ascii="TimesNewRoman,Bold" w:hAnsi="TimesNewRoman,Bold"/>
                <w:rtl/>
                <w:lang w:bidi="fa-IR"/>
              </w:rPr>
              <w:t xml:space="preserve"> و سم</w:t>
            </w:r>
            <w:r w:rsidRPr="007F50C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F50C1">
              <w:rPr>
                <w:rFonts w:ascii="TimesNewRoman,Bold" w:hAnsi="TimesNewRoman,Bold" w:hint="eastAsia"/>
                <w:rtl/>
                <w:lang w:bidi="fa-IR"/>
              </w:rPr>
              <w:t>ت</w:t>
            </w:r>
            <w:r w:rsidRPr="007F50C1">
              <w:rPr>
                <w:rFonts w:ascii="TimesNewRoman,Bold" w:hAnsi="TimesNewRoman,Bold"/>
                <w:rtl/>
                <w:lang w:bidi="fa-IR"/>
              </w:rPr>
              <w:t xml:space="preserve"> سموم و طبق بندي آنها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3A18">
        <w:trPr>
          <w:trHeight w:val="503"/>
        </w:trPr>
        <w:tc>
          <w:tcPr>
            <w:tcW w:w="5000" w:type="pct"/>
          </w:tcPr>
          <w:p w:rsidR="00A51E3F" w:rsidRPr="00D21C58" w:rsidRDefault="007F50C1" w:rsidP="0091445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 پیش نیاز دروس فیزیولوژی و کاربرد علف‌کش‌ها می‌باشد و دانشجویان رشته علوم علف‌های هرز را برای یادگیری دروس مذکور آماده می‌نماید. همچنین دانشجویان پس از اتمام این درس دانش وسیعی در مورد سموم و مخاطرات آن را در زندگی انسان فرا می‌گیرند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1C58">
        <w:tc>
          <w:tcPr>
            <w:tcW w:w="1290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21C58">
        <w:tc>
          <w:tcPr>
            <w:tcW w:w="1290" w:type="pct"/>
            <w:vAlign w:val="center"/>
          </w:tcPr>
          <w:p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:rsidR="004D5045" w:rsidRDefault="00127009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914453">
              <w:rPr>
                <w:rFonts w:hint="cs"/>
                <w:rtl/>
                <w:lang w:bidi="fa-IR"/>
              </w:rPr>
              <w:t xml:space="preserve">  نمره کوئیز</w:t>
            </w:r>
            <w:r w:rsidR="00F73A18">
              <w:rPr>
                <w:rFonts w:hint="cs"/>
                <w:rtl/>
                <w:lang w:bidi="fa-IR"/>
              </w:rPr>
              <w:t xml:space="preserve"> </w:t>
            </w:r>
            <w:r w:rsidR="00914453">
              <w:rPr>
                <w:rFonts w:hint="cs"/>
                <w:rtl/>
                <w:lang w:bidi="fa-IR"/>
              </w:rPr>
              <w:t>و</w:t>
            </w:r>
            <w:r w:rsidR="00D21C58">
              <w:rPr>
                <w:rFonts w:hint="cs"/>
                <w:rtl/>
                <w:lang w:bidi="fa-IR"/>
              </w:rPr>
              <w:t xml:space="preserve"> تحویل تکالیف واگذارشده، نمرات تشویقی </w:t>
            </w:r>
            <w:r w:rsidR="00914453">
              <w:rPr>
                <w:rFonts w:hint="cs"/>
                <w:rtl/>
                <w:lang w:bidi="fa-IR"/>
              </w:rPr>
              <w:t>مشارکت در فرایند آموزشی سر کلاس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71030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 نیمسال اول 98-97</w:t>
            </w:r>
            <w:r>
              <w:rPr>
                <w:lang w:bidi="fa-IR"/>
              </w:rPr>
              <w:t>:</w:t>
            </w:r>
          </w:p>
          <w:p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9 تا 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هاو دوشنبه ها  </w:t>
            </w:r>
            <w:r>
              <w:rPr>
                <w:rFonts w:hint="cs"/>
                <w:rtl/>
              </w:rPr>
              <w:t xml:space="preserve">11 تا 13،       سه‌شنبه‌ها 14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>
              <w:rPr>
                <w:rFonts w:hint="cs"/>
                <w:rtl/>
              </w:rPr>
              <w:t>11</w:t>
            </w:r>
            <w:r w:rsidRPr="0088116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9 .</w:t>
            </w:r>
          </w:p>
          <w:p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2227DC">
        <w:trPr>
          <w:trHeight w:val="692"/>
        </w:trPr>
        <w:tc>
          <w:tcPr>
            <w:tcW w:w="5000" w:type="pct"/>
          </w:tcPr>
          <w:p w:rsidR="00A51E3F" w:rsidRPr="008C3AB5" w:rsidRDefault="00914453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هر هفته آموزشی، 2 جلسه کلاس برگزار می‌شود که جلسه دوم آن مربوط به حل تمارین و تکالیف می‌باشد.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دانشجو آمادگی کوئیز را داشته باشد.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2227DC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اتمام هر جلسه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نمونه مثال و نمونه مساله داده خواهد شد که توسط دانشجو حل 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تحویل مسائل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 xml:space="preserve">حل شده،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قبل از شروع جلسه بعدی کلاس است. برای تاخیرات حداکثر یک هفته‌ای نمره‌ای معادل حداکثر 40% نمره اصلی ثبت خواهد شد. انتظار می‌رود هر هفته بین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6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ساعت 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912"/>
        <w:gridCol w:w="1172"/>
        <w:gridCol w:w="1530"/>
        <w:gridCol w:w="53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:rsidTr="00914453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3D723E" w:rsidTr="003D723E">
        <w:tc>
          <w:tcPr>
            <w:tcW w:w="298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3D723E" w:rsidRDefault="007F50C1" w:rsidP="007F50C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مقدمه</w:t>
            </w:r>
            <w:r>
              <w:rPr>
                <w:rFonts w:hint="cs"/>
                <w:rtl/>
                <w:lang w:bidi="fa-IR"/>
              </w:rPr>
              <w:t xml:space="preserve">‌ای در مورد </w:t>
            </w:r>
            <w:r w:rsidR="00F602A8">
              <w:rPr>
                <w:rFonts w:hint="cs"/>
                <w:rtl/>
                <w:lang w:bidi="fa-IR"/>
              </w:rPr>
              <w:t>سم‌شناسی و سموم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3D723E" w:rsidRDefault="00F602A8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D723E" w:rsidTr="003D723E">
        <w:trPr>
          <w:trHeight w:val="413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7F50C1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7F50C1">
              <w:rPr>
                <w:rFonts w:hint="cs"/>
                <w:rtl/>
                <w:lang w:bidi="fa-IR"/>
              </w:rPr>
              <w:t>تعاری</w:t>
            </w:r>
            <w:r w:rsidRPr="007F50C1">
              <w:rPr>
                <w:rFonts w:hint="eastAsia"/>
                <w:rtl/>
                <w:lang w:bidi="fa-IR"/>
              </w:rPr>
              <w:t>ف</w:t>
            </w:r>
            <w:r w:rsidR="00F602A8">
              <w:rPr>
                <w:rFonts w:hint="cs"/>
                <w:sz w:val="20"/>
                <w:szCs w:val="22"/>
                <w:rtl/>
              </w:rPr>
              <w:t xml:space="preserve"> و اصطلاحات مهم و پرکاربرد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F602A8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03" w:type="pct"/>
            <w:vAlign w:val="center"/>
          </w:tcPr>
          <w:p w:rsidR="003D723E" w:rsidRPr="003D723E" w:rsidRDefault="00F602A8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اصول و روشهاي ز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ست</w:t>
            </w:r>
            <w:r w:rsidRPr="00F602A8">
              <w:rPr>
                <w:sz w:val="20"/>
                <w:szCs w:val="22"/>
                <w:rtl/>
              </w:rPr>
              <w:t xml:space="preserve"> سنج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</w:rPr>
              <w:t>(</w:t>
            </w:r>
            <w:r w:rsidRPr="00F602A8">
              <w:rPr>
                <w:sz w:val="20"/>
                <w:szCs w:val="22"/>
              </w:rPr>
              <w:t>Bioassay</w:t>
            </w:r>
            <w:r>
              <w:rPr>
                <w:rFonts w:hint="cs"/>
                <w:sz w:val="20"/>
                <w:szCs w:val="22"/>
                <w:rtl/>
              </w:rPr>
              <w:t>)</w:t>
            </w:r>
            <w:r>
              <w:rPr>
                <w:rFonts w:hint="cs"/>
                <w:sz w:val="20"/>
                <w:szCs w:val="22"/>
                <w:rtl/>
              </w:rPr>
              <w:t xml:space="preserve"> (جلسه اول)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F602A8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اصول و روشهاي ز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ست</w:t>
            </w:r>
            <w:r w:rsidRPr="00F602A8">
              <w:rPr>
                <w:sz w:val="20"/>
                <w:szCs w:val="22"/>
                <w:rtl/>
              </w:rPr>
              <w:t xml:space="preserve"> سنج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>
              <w:rPr>
                <w:rFonts w:hint="cs"/>
                <w:sz w:val="20"/>
                <w:szCs w:val="22"/>
                <w:rtl/>
              </w:rPr>
              <w:t xml:space="preserve"> (</w:t>
            </w:r>
            <w:r w:rsidRPr="00F602A8">
              <w:rPr>
                <w:sz w:val="20"/>
                <w:szCs w:val="22"/>
              </w:rPr>
              <w:t>Bioassay</w:t>
            </w:r>
            <w:r>
              <w:rPr>
                <w:rFonts w:hint="cs"/>
                <w:sz w:val="20"/>
                <w:szCs w:val="22"/>
                <w:rtl/>
              </w:rPr>
              <w:t xml:space="preserve">) </w:t>
            </w:r>
            <w:r>
              <w:rPr>
                <w:rFonts w:hint="cs"/>
                <w:sz w:val="20"/>
                <w:szCs w:val="22"/>
                <w:rtl/>
              </w:rPr>
              <w:t>(جلسه دوم)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03" w:type="pct"/>
            <w:vAlign w:val="center"/>
          </w:tcPr>
          <w:p w:rsidR="003D723E" w:rsidRPr="003D723E" w:rsidRDefault="00F602A8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مکان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سم</w:t>
            </w:r>
            <w:r w:rsidRPr="00F602A8">
              <w:rPr>
                <w:sz w:val="20"/>
                <w:szCs w:val="22"/>
                <w:rtl/>
              </w:rPr>
              <w:t xml:space="preserve"> تأث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ر</w:t>
            </w:r>
            <w:r w:rsidRPr="00F602A8">
              <w:rPr>
                <w:sz w:val="20"/>
                <w:szCs w:val="22"/>
                <w:rtl/>
              </w:rPr>
              <w:t xml:space="preserve"> و متابول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سم</w:t>
            </w:r>
            <w:r w:rsidRPr="00F602A8">
              <w:rPr>
                <w:sz w:val="20"/>
                <w:szCs w:val="22"/>
                <w:rtl/>
              </w:rPr>
              <w:t xml:space="preserve"> ترک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بات</w:t>
            </w:r>
            <w:r w:rsidRPr="00F602A8">
              <w:rPr>
                <w:sz w:val="20"/>
                <w:szCs w:val="22"/>
                <w:rtl/>
              </w:rPr>
              <w:t xml:space="preserve"> سموم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F602A8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ترک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بات</w:t>
            </w:r>
            <w:r w:rsidRPr="00F602A8">
              <w:rPr>
                <w:sz w:val="20"/>
                <w:szCs w:val="22"/>
                <w:rtl/>
              </w:rPr>
              <w:t xml:space="preserve"> گ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اه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،</w:t>
            </w:r>
            <w:r w:rsidRPr="00F602A8">
              <w:rPr>
                <w:sz w:val="20"/>
                <w:szCs w:val="22"/>
                <w:rtl/>
              </w:rPr>
              <w:t xml:space="preserve"> کلره، فسفره،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F602A8">
              <w:rPr>
                <w:sz w:val="20"/>
                <w:szCs w:val="22"/>
                <w:rtl/>
              </w:rPr>
              <w:t>کاربامات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F602A8">
              <w:rPr>
                <w:sz w:val="20"/>
                <w:szCs w:val="22"/>
                <w:rtl/>
              </w:rPr>
              <w:t>ها و غ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ره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03" w:type="pct"/>
            <w:vAlign w:val="center"/>
          </w:tcPr>
          <w:p w:rsidR="003D723E" w:rsidRPr="003D723E" w:rsidRDefault="00F602A8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نحوه نفوذ سموم به داخل بدن و خاص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ت</w:t>
            </w:r>
            <w:r w:rsidRPr="00F602A8">
              <w:rPr>
                <w:sz w:val="20"/>
                <w:szCs w:val="22"/>
                <w:rtl/>
              </w:rPr>
              <w:t xml:space="preserve"> انتخاب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sz w:val="20"/>
                <w:szCs w:val="22"/>
                <w:rtl/>
              </w:rPr>
              <w:t xml:space="preserve"> آنها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F602A8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مکان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سم</w:t>
            </w:r>
            <w:r w:rsidRPr="00F602A8">
              <w:rPr>
                <w:sz w:val="20"/>
                <w:szCs w:val="22"/>
                <w:rtl/>
              </w:rPr>
              <w:t xml:space="preserve"> مقاومت حشرات و گ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اهان</w:t>
            </w:r>
            <w:r w:rsidRPr="00F602A8">
              <w:rPr>
                <w:sz w:val="20"/>
                <w:szCs w:val="22"/>
                <w:rtl/>
              </w:rPr>
              <w:t xml:space="preserve"> در مقابل آفت کشها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:rsidTr="00914453">
        <w:tc>
          <w:tcPr>
            <w:tcW w:w="298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03" w:type="pct"/>
            <w:vAlign w:val="center"/>
          </w:tcPr>
          <w:p w:rsidR="003D723E" w:rsidRPr="003D723E" w:rsidRDefault="00F602A8" w:rsidP="00F602A8">
            <w:pPr>
              <w:ind w:firstLine="0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طبقه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F602A8">
              <w:rPr>
                <w:sz w:val="20"/>
                <w:szCs w:val="22"/>
                <w:rtl/>
              </w:rPr>
              <w:t>بندي و معرف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sz w:val="20"/>
                <w:szCs w:val="22"/>
                <w:rtl/>
              </w:rPr>
              <w:t xml:space="preserve"> سموم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</w:rPr>
              <w:t>(جلسه اول)</w:t>
            </w:r>
          </w:p>
        </w:tc>
        <w:tc>
          <w:tcPr>
            <w:tcW w:w="543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:rsidTr="003D723E">
        <w:trPr>
          <w:trHeight w:val="278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F602A8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طبقه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F602A8">
              <w:rPr>
                <w:sz w:val="20"/>
                <w:szCs w:val="22"/>
                <w:rtl/>
              </w:rPr>
              <w:t>بندي و معرف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sz w:val="20"/>
                <w:szCs w:val="22"/>
                <w:rtl/>
              </w:rPr>
              <w:t xml:space="preserve"> سموم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</w:rPr>
              <w:t xml:space="preserve">(جلسه </w:t>
            </w:r>
            <w:r>
              <w:rPr>
                <w:rFonts w:hint="cs"/>
                <w:sz w:val="20"/>
                <w:szCs w:val="22"/>
                <w:rtl/>
              </w:rPr>
              <w:t>دوم</w:t>
            </w:r>
            <w:r>
              <w:rPr>
                <w:rFonts w:hint="cs"/>
                <w:sz w:val="20"/>
                <w:szCs w:val="22"/>
                <w:rtl/>
              </w:rPr>
              <w:t>)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:rsidTr="00914453">
        <w:tc>
          <w:tcPr>
            <w:tcW w:w="298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03" w:type="pct"/>
            <w:vAlign w:val="center"/>
          </w:tcPr>
          <w:p w:rsidR="00F602A8" w:rsidRPr="003D723E" w:rsidRDefault="00F602A8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مسائل مربوط به باق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مانده</w:t>
            </w:r>
            <w:r w:rsidRPr="00F602A8">
              <w:rPr>
                <w:sz w:val="20"/>
                <w:szCs w:val="22"/>
                <w:rtl/>
              </w:rPr>
              <w:t xml:space="preserve"> سموم در فرآورده هاي غذائ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sz w:val="20"/>
                <w:szCs w:val="22"/>
                <w:rtl/>
              </w:rPr>
              <w:t xml:space="preserve"> و مح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ط</w:t>
            </w:r>
            <w:r w:rsidRPr="00F602A8">
              <w:rPr>
                <w:sz w:val="20"/>
                <w:szCs w:val="22"/>
                <w:rtl/>
              </w:rPr>
              <w:t xml:space="preserve"> ز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ست</w:t>
            </w:r>
          </w:p>
        </w:tc>
        <w:tc>
          <w:tcPr>
            <w:tcW w:w="543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602A8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F602A8" w:rsidRPr="003D723E" w:rsidRDefault="00F602A8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تکنولوژي فرمولاس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ون</w:t>
            </w:r>
            <w:r w:rsidRPr="00F602A8">
              <w:rPr>
                <w:sz w:val="20"/>
                <w:szCs w:val="22"/>
                <w:rtl/>
              </w:rPr>
              <w:t xml:space="preserve"> سموم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602A8" w:rsidTr="00914453">
        <w:tc>
          <w:tcPr>
            <w:tcW w:w="298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03" w:type="pct"/>
            <w:vAlign w:val="center"/>
          </w:tcPr>
          <w:p w:rsidR="00F602A8" w:rsidRPr="003D723E" w:rsidRDefault="00F602A8" w:rsidP="00F602A8">
            <w:pPr>
              <w:ind w:firstLine="0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قوان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ن</w:t>
            </w:r>
            <w:r w:rsidRPr="00F602A8">
              <w:rPr>
                <w:sz w:val="20"/>
                <w:szCs w:val="22"/>
                <w:rtl/>
              </w:rPr>
              <w:t xml:space="preserve"> و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F602A8">
              <w:rPr>
                <w:rFonts w:hint="eastAsia"/>
                <w:sz w:val="20"/>
                <w:szCs w:val="22"/>
                <w:rtl/>
              </w:rPr>
              <w:t>مقررات</w:t>
            </w:r>
            <w:r w:rsidRPr="00F602A8">
              <w:rPr>
                <w:sz w:val="20"/>
                <w:szCs w:val="22"/>
                <w:rtl/>
              </w:rPr>
              <w:t xml:space="preserve"> مربوط به سموم</w:t>
            </w:r>
          </w:p>
        </w:tc>
        <w:tc>
          <w:tcPr>
            <w:tcW w:w="543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602A8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F602A8" w:rsidRPr="003D723E" w:rsidRDefault="00F602A8" w:rsidP="00F602A8">
            <w:pPr>
              <w:ind w:firstLine="0"/>
              <w:jc w:val="both"/>
              <w:rPr>
                <w:sz w:val="20"/>
                <w:szCs w:val="22"/>
              </w:rPr>
            </w:pPr>
            <w:r w:rsidRPr="00F602A8">
              <w:rPr>
                <w:sz w:val="20"/>
                <w:szCs w:val="22"/>
                <w:rtl/>
              </w:rPr>
              <w:t>روشهاي اندازه گ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ري</w:t>
            </w:r>
            <w:r w:rsidRPr="00F602A8">
              <w:rPr>
                <w:sz w:val="20"/>
                <w:szCs w:val="22"/>
                <w:rtl/>
              </w:rPr>
              <w:t xml:space="preserve"> باق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مانده</w:t>
            </w:r>
            <w:r w:rsidRPr="00F602A8">
              <w:rPr>
                <w:sz w:val="20"/>
                <w:szCs w:val="22"/>
                <w:rtl/>
              </w:rPr>
              <w:t xml:space="preserve"> سموم (روشهاي مختلف کروماتوگراف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sz w:val="20"/>
                <w:szCs w:val="22"/>
                <w:rtl/>
              </w:rPr>
              <w:t xml:space="preserve"> و ب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ولوژ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ک</w:t>
            </w:r>
            <w:r w:rsidRPr="00F602A8">
              <w:rPr>
                <w:sz w:val="20"/>
                <w:szCs w:val="22"/>
                <w:rtl/>
              </w:rPr>
              <w:t>).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602A8" w:rsidTr="00914453">
        <w:tc>
          <w:tcPr>
            <w:tcW w:w="298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03" w:type="pct"/>
            <w:vAlign w:val="center"/>
          </w:tcPr>
          <w:p w:rsidR="00F602A8" w:rsidRPr="003D723E" w:rsidRDefault="00F602A8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F602A8">
              <w:rPr>
                <w:sz w:val="20"/>
                <w:szCs w:val="22"/>
                <w:rtl/>
              </w:rPr>
              <w:t>روشهاي اندازه گ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ري</w:t>
            </w:r>
            <w:r w:rsidRPr="00F602A8">
              <w:rPr>
                <w:sz w:val="20"/>
                <w:szCs w:val="22"/>
                <w:rtl/>
              </w:rPr>
              <w:t xml:space="preserve"> باق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مانده</w:t>
            </w:r>
            <w:r w:rsidRPr="00F602A8">
              <w:rPr>
                <w:sz w:val="20"/>
                <w:szCs w:val="22"/>
                <w:rtl/>
              </w:rPr>
              <w:t xml:space="preserve"> سموم (روشهاي مختلف کروماتوگراف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sz w:val="20"/>
                <w:szCs w:val="22"/>
                <w:rtl/>
              </w:rPr>
              <w:t xml:space="preserve"> و ب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ولوژ</w:t>
            </w:r>
            <w:r w:rsidRPr="00F602A8">
              <w:rPr>
                <w:rFonts w:hint="cs"/>
                <w:sz w:val="20"/>
                <w:szCs w:val="22"/>
                <w:rtl/>
              </w:rPr>
              <w:t>ی</w:t>
            </w:r>
            <w:r w:rsidRPr="00F602A8">
              <w:rPr>
                <w:rFonts w:hint="eastAsia"/>
                <w:sz w:val="20"/>
                <w:szCs w:val="22"/>
                <w:rtl/>
              </w:rPr>
              <w:t>ک</w:t>
            </w:r>
            <w:r w:rsidRPr="00F602A8">
              <w:rPr>
                <w:sz w:val="20"/>
                <w:szCs w:val="22"/>
                <w:rtl/>
              </w:rPr>
              <w:t>).</w:t>
            </w:r>
          </w:p>
        </w:tc>
        <w:tc>
          <w:tcPr>
            <w:tcW w:w="543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C90F8B" w:rsidRPr="00C90F8B" w:rsidRDefault="00C90F8B" w:rsidP="00C90F8B">
      <w:pPr>
        <w:ind w:firstLine="0"/>
        <w:rPr>
          <w:rtl/>
          <w:lang w:bidi="fa-IR"/>
        </w:rPr>
      </w:pPr>
      <w:bookmarkStart w:id="0" w:name="_GoBack"/>
      <w:bookmarkEnd w:id="0"/>
    </w:p>
    <w:sectPr w:rsidR="00C90F8B" w:rsidRPr="00C90F8B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030" w:rsidRDefault="00F71030" w:rsidP="00061A9B">
      <w:pPr>
        <w:spacing w:after="0"/>
      </w:pPr>
      <w:r>
        <w:separator/>
      </w:r>
    </w:p>
  </w:endnote>
  <w:endnote w:type="continuationSeparator" w:id="0">
    <w:p w:rsidR="00F71030" w:rsidRDefault="00F7103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2A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030" w:rsidRDefault="00F71030" w:rsidP="00061A9B">
      <w:pPr>
        <w:spacing w:after="0"/>
      </w:pPr>
      <w:r>
        <w:separator/>
      </w:r>
    </w:p>
  </w:footnote>
  <w:footnote w:type="continuationSeparator" w:id="0">
    <w:p w:rsidR="00F71030" w:rsidRDefault="00F7103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09255C"/>
    <w:multiLevelType w:val="hybridMultilevel"/>
    <w:tmpl w:val="0B12EC6A"/>
    <w:lvl w:ilvl="0" w:tplc="4F68CE1E">
      <w:start w:val="1"/>
      <w:numFmt w:val="decimal"/>
      <w:lvlText w:val="(%1"/>
      <w:lvlJc w:val="left"/>
      <w:pPr>
        <w:ind w:left="6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E076A2"/>
    <w:multiLevelType w:val="hybridMultilevel"/>
    <w:tmpl w:val="9F2606AE"/>
    <w:lvl w:ilvl="0" w:tplc="BEBCC89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20"/>
  </w:num>
  <w:num w:numId="19">
    <w:abstractNumId w:val="17"/>
  </w:num>
  <w:num w:numId="20">
    <w:abstractNumId w:val="16"/>
  </w:num>
  <w:num w:numId="21">
    <w:abstractNumId w:val="8"/>
  </w:num>
  <w:num w:numId="22">
    <w:abstractNumId w:val="9"/>
  </w:num>
  <w:num w:numId="23">
    <w:abstractNumId w:val="15"/>
  </w:num>
  <w:num w:numId="24">
    <w:abstractNumId w:val="18"/>
  </w:num>
  <w:num w:numId="25">
    <w:abstractNumId w:val="19"/>
  </w:num>
  <w:num w:numId="26">
    <w:abstractNumId w:val="13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0C27C4"/>
    <w:rsid w:val="000D37BE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3D723E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7F50C1"/>
    <w:rsid w:val="008120F9"/>
    <w:rsid w:val="00853C2F"/>
    <w:rsid w:val="00863C0C"/>
    <w:rsid w:val="0087319C"/>
    <w:rsid w:val="00897957"/>
    <w:rsid w:val="008C3AB5"/>
    <w:rsid w:val="008E0391"/>
    <w:rsid w:val="00914453"/>
    <w:rsid w:val="00914703"/>
    <w:rsid w:val="0098549E"/>
    <w:rsid w:val="0099014B"/>
    <w:rsid w:val="009C0041"/>
    <w:rsid w:val="009C2719"/>
    <w:rsid w:val="009F0C76"/>
    <w:rsid w:val="009F1DA8"/>
    <w:rsid w:val="00A51E3F"/>
    <w:rsid w:val="00A76F32"/>
    <w:rsid w:val="00AB3C79"/>
    <w:rsid w:val="00AC5599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6F03"/>
    <w:rsid w:val="00C47146"/>
    <w:rsid w:val="00C47281"/>
    <w:rsid w:val="00C60107"/>
    <w:rsid w:val="00C82905"/>
    <w:rsid w:val="00C90F8B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D1066"/>
    <w:rsid w:val="00DF052A"/>
    <w:rsid w:val="00E504B7"/>
    <w:rsid w:val="00E56A3C"/>
    <w:rsid w:val="00E85668"/>
    <w:rsid w:val="00EB76A2"/>
    <w:rsid w:val="00EC340D"/>
    <w:rsid w:val="00EC5959"/>
    <w:rsid w:val="00EE56A0"/>
    <w:rsid w:val="00EF4E50"/>
    <w:rsid w:val="00EF67CA"/>
    <w:rsid w:val="00F06A90"/>
    <w:rsid w:val="00F30A5C"/>
    <w:rsid w:val="00F602A8"/>
    <w:rsid w:val="00F6060B"/>
    <w:rsid w:val="00F6504B"/>
    <w:rsid w:val="00F71030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9D36A0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24B2-EF89-4ADF-94BE-C0EF545F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2</cp:revision>
  <dcterms:created xsi:type="dcterms:W3CDTF">2018-10-23T08:45:00Z</dcterms:created>
  <dcterms:modified xsi:type="dcterms:W3CDTF">2018-10-23T08:45:00Z</dcterms:modified>
</cp:coreProperties>
</file>