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94313F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664C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sz w:val="20"/>
                <w:szCs w:val="22"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664CF0">
              <w:rPr>
                <w:rFonts w:hint="cs"/>
                <w:sz w:val="20"/>
                <w:szCs w:val="22"/>
                <w:rtl/>
                <w:lang w:bidi="fa-IR"/>
              </w:rPr>
              <w:t xml:space="preserve">آزمايشگاه سنگ‌هاي آذرين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07F2F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علوم زمين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07F2F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فاطمه سرجوقيان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07F2F" w:rsidP="00664C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664CF0">
              <w:rPr>
                <w:rFonts w:hint="cs"/>
                <w:sz w:val="20"/>
                <w:szCs w:val="22"/>
                <w:rtl/>
                <w:lang w:bidi="fa-IR"/>
              </w:rPr>
              <w:t>سه شنبه ١٠-١٢ و ١٢-١٤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4A2882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مباني كاني شناسي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4A2882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 w:rsidR="004A2882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4A2882" w:rsidP="004A2882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آزمايشگاه سنگ شناسي آذرين دكتر علي كنعانيان دانشگاه تهران</w:t>
            </w:r>
          </w:p>
          <w:p w:rsidR="00FC58F8" w:rsidRPr="00C80219" w:rsidRDefault="00FC58F8" w:rsidP="004A2882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8B795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شناسايي انواع سنگ‌هاي آذرين</w:t>
            </w:r>
          </w:p>
          <w:p w:rsidR="0013501B" w:rsidRPr="00C80219" w:rsidRDefault="008B795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شتاسايي يافتها و روايط بين كاني ها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8B795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شناسايي سنگ‌هاي آذرين</w:t>
            </w: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3800F8" w:rsidRPr="003800F8" w:rsidRDefault="003800F8" w:rsidP="003800F8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 w:rsidRPr="003800F8">
              <w:rPr>
                <w:rtl/>
                <w:lang w:bidi="fa-IR"/>
              </w:rPr>
              <w:t>شناسايي سنگ‌هاي آذرين</w:t>
            </w:r>
            <w:r>
              <w:rPr>
                <w:rFonts w:hint="cs"/>
                <w:rtl/>
                <w:lang w:bidi="fa-IR"/>
              </w:rPr>
              <w:t xml:space="preserve"> براي ورود به شركتهاي مرتبط با زمين شناسي و اكتشافات مواد معدني </w:t>
            </w: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3800F8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زمين شناسي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3800F8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E86AAA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پايان ترم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E86AAA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پرسش و پاسخ 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86AA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86AAA">
              <w:rPr>
                <w:b/>
                <w:bCs/>
                <w:lang w:bidi="fa-IR"/>
              </w:rPr>
              <w:t>f.sarjoughian@uok.ac.ir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66502E" w:rsidTr="00016D52">
        <w:trPr>
          <w:trHeight w:val="1745"/>
        </w:trPr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66502E" w:rsidRPr="00582CCD" w:rsidRDefault="0066502E" w:rsidP="00D3355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شناسايي كاني‌ها</w:t>
            </w:r>
          </w:p>
          <w:p w:rsidR="0066502E" w:rsidRPr="00582CCD" w:rsidRDefault="0066502E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743B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جزوه دکتر علی کنعانیان دانشگاه تهران</w:t>
            </w:r>
          </w:p>
          <w:p w:rsidR="0066502E" w:rsidRPr="00582CCD" w:rsidRDefault="0066502E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E86AA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دكتر سرجوقيان/ آزمايشگاه ٢١٩</w:t>
            </w: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82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آذرين اسيدي- حدواسط دروني</w:t>
            </w:r>
          </w:p>
          <w:p w:rsidR="0066502E" w:rsidRPr="00582CCD" w:rsidRDefault="0066502E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4791B" w:rsidRPr="0074791B" w:rsidRDefault="0066502E" w:rsidP="0074791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4791B" w:rsidRPr="0074791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جزوه دکتر علی کنعانیان دانشگاه تهران</w:t>
            </w: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bookmarkStart w:id="0" w:name="_GoBack"/>
            <w:bookmarkEnd w:id="0"/>
          </w:p>
          <w:p w:rsidR="0066502E" w:rsidRPr="00582CCD" w:rsidRDefault="0066502E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7C1C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82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82936" w:rsidRPr="00282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C1CDE" w:rsidRPr="007C1C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طبقه بندي سنگ‌هاي آذرين اسيدي- حدواسط دروني</w:t>
            </w:r>
          </w:p>
          <w:p w:rsidR="0066502E" w:rsidRPr="00582CCD" w:rsidRDefault="0066502E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282936" w:rsidRPr="00282936" w:rsidRDefault="0066502E" w:rsidP="007C1C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82936" w:rsidRPr="00282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C1CDE" w:rsidRPr="00282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طبقه بندي سنگ‌هاي آذرين </w:t>
            </w:r>
            <w:r w:rsidR="007C1C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بازيك</w:t>
            </w:r>
            <w:r w:rsidR="007C1CDE" w:rsidRPr="00282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دروني </w:t>
            </w: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7C1CDE" w:rsidRPr="007C1CDE" w:rsidRDefault="0066502E" w:rsidP="007C1C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C1CDE" w:rsidRPr="007C1C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C1CDE" w:rsidRPr="00282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طبقه بندي سنگ‌هاي آذرين اسيدي</w:t>
            </w:r>
            <w:r w:rsidR="007C1C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- حدواسط</w:t>
            </w:r>
            <w:r w:rsidR="007C1CDE" w:rsidRPr="002829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C1C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بيروني</w:t>
            </w:r>
            <w:r w:rsidR="007C1CDE" w:rsidRPr="007C1C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2D64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7C1CDE" w:rsidRPr="007C1C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آذرين 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بازيك</w:t>
            </w:r>
            <w:r w:rsidR="007C1CDE" w:rsidRPr="007C1C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بيروني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اذرين الترابازيك</w:t>
            </w:r>
          </w:p>
          <w:p w:rsidR="0066502E" w:rsidRPr="00582CCD" w:rsidRDefault="0066502E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2D64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 w:rsidRP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اذرين الترابازيك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66502E" w:rsidRPr="00582CCD" w:rsidRDefault="0066502E" w:rsidP="002D64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 w:rsidRP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طبقه بندي سنگ‌هاي اذرين الترابازيك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2D64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شناسايي بافتها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2D64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شناسايي بافتها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مرور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 xml:space="preserve">آدرس مباحث در کتب </w:t>
            </w: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lastRenderedPageBreak/>
              <w:t>منبع:</w:t>
            </w:r>
          </w:p>
          <w:p w:rsidR="0066502E" w:rsidRPr="00582CCD" w:rsidRDefault="0066502E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مرور</w:t>
            </w:r>
          </w:p>
          <w:p w:rsidR="0066502E" w:rsidRPr="00582CCD" w:rsidRDefault="0066502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مرور</w:t>
            </w:r>
          </w:p>
          <w:p w:rsidR="0066502E" w:rsidRPr="00582CCD" w:rsidRDefault="0066502E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Pr="00EC131D" w:rsidRDefault="0066502E" w:rsidP="001B0B04">
            <w:r w:rsidRPr="00EC131D">
              <w:rPr>
                <w:rtl/>
              </w:rPr>
              <w:t>پرسش و پاسخ</w:t>
            </w:r>
          </w:p>
        </w:tc>
      </w:tr>
      <w:tr w:rsidR="0066502E" w:rsidTr="00016D52">
        <w:tc>
          <w:tcPr>
            <w:tcW w:w="298" w:type="pct"/>
            <w:vAlign w:val="center"/>
          </w:tcPr>
          <w:p w:rsidR="0066502E" w:rsidRDefault="0066502E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D64B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مرور</w:t>
            </w:r>
          </w:p>
          <w:p w:rsidR="0066502E" w:rsidRPr="00582CCD" w:rsidRDefault="0066502E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66502E" w:rsidRPr="00582CCD" w:rsidRDefault="0066502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66502E" w:rsidRPr="00582CCD" w:rsidRDefault="0066502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</w:tcPr>
          <w:p w:rsidR="0066502E" w:rsidRPr="00EC131D" w:rsidRDefault="0066502E" w:rsidP="001B0B04">
            <w:r w:rsidRPr="00EC131D">
              <w:rPr>
                <w:rtl/>
              </w:rPr>
              <w:t>مرور مطالب</w:t>
            </w:r>
          </w:p>
        </w:tc>
        <w:tc>
          <w:tcPr>
            <w:tcW w:w="1208" w:type="pct"/>
          </w:tcPr>
          <w:p w:rsidR="0066502E" w:rsidRDefault="0066502E" w:rsidP="001B0B04">
            <w:r w:rsidRPr="00EC131D">
              <w:rPr>
                <w:rtl/>
              </w:rPr>
              <w:t>پرسش و پاسخ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B8" w:rsidRDefault="004964B8" w:rsidP="00061A9B">
      <w:pPr>
        <w:spacing w:after="0"/>
      </w:pPr>
      <w:r>
        <w:separator/>
      </w:r>
    </w:p>
  </w:endnote>
  <w:endnote w:type="continuationSeparator" w:id="0">
    <w:p w:rsidR="004964B8" w:rsidRDefault="004964B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74791B">
      <w:rPr>
        <w:noProof/>
        <w:rtl/>
        <w:lang w:bidi="fa-IR"/>
      </w:rPr>
      <w:t>3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B8" w:rsidRDefault="004964B8" w:rsidP="00061A9B">
      <w:pPr>
        <w:spacing w:after="0"/>
      </w:pPr>
      <w:r>
        <w:separator/>
      </w:r>
    </w:p>
  </w:footnote>
  <w:footnote w:type="continuationSeparator" w:id="0">
    <w:p w:rsidR="004964B8" w:rsidRDefault="004964B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107F2F"/>
    <w:rsid w:val="0013501B"/>
    <w:rsid w:val="00165901"/>
    <w:rsid w:val="0018085B"/>
    <w:rsid w:val="001820FC"/>
    <w:rsid w:val="00192BA1"/>
    <w:rsid w:val="00197896"/>
    <w:rsid w:val="001A4CEF"/>
    <w:rsid w:val="001B1F97"/>
    <w:rsid w:val="001B3E8D"/>
    <w:rsid w:val="001E2DA0"/>
    <w:rsid w:val="001F48E0"/>
    <w:rsid w:val="00211920"/>
    <w:rsid w:val="00261C5C"/>
    <w:rsid w:val="00262DF5"/>
    <w:rsid w:val="00270A93"/>
    <w:rsid w:val="00282936"/>
    <w:rsid w:val="002A636E"/>
    <w:rsid w:val="002B0A6E"/>
    <w:rsid w:val="002B1C96"/>
    <w:rsid w:val="002B2198"/>
    <w:rsid w:val="002B2C72"/>
    <w:rsid w:val="002B35CC"/>
    <w:rsid w:val="002C4CEB"/>
    <w:rsid w:val="002D0BD4"/>
    <w:rsid w:val="002D64BD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800F8"/>
    <w:rsid w:val="003B7E12"/>
    <w:rsid w:val="00401CE6"/>
    <w:rsid w:val="00444A73"/>
    <w:rsid w:val="00466747"/>
    <w:rsid w:val="00487C6C"/>
    <w:rsid w:val="004964B8"/>
    <w:rsid w:val="004A2882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64CF0"/>
    <w:rsid w:val="0066502E"/>
    <w:rsid w:val="006F33D4"/>
    <w:rsid w:val="007146CC"/>
    <w:rsid w:val="0072301F"/>
    <w:rsid w:val="007317DD"/>
    <w:rsid w:val="00735D11"/>
    <w:rsid w:val="0074791B"/>
    <w:rsid w:val="00766300"/>
    <w:rsid w:val="00787DA0"/>
    <w:rsid w:val="00793303"/>
    <w:rsid w:val="007B04DF"/>
    <w:rsid w:val="007B304D"/>
    <w:rsid w:val="007B7173"/>
    <w:rsid w:val="007C1CDE"/>
    <w:rsid w:val="007C25BD"/>
    <w:rsid w:val="007C2FF0"/>
    <w:rsid w:val="007C4B7C"/>
    <w:rsid w:val="007E4BE3"/>
    <w:rsid w:val="00807576"/>
    <w:rsid w:val="008120F9"/>
    <w:rsid w:val="00812B0C"/>
    <w:rsid w:val="00824DF4"/>
    <w:rsid w:val="008340A0"/>
    <w:rsid w:val="00853C2F"/>
    <w:rsid w:val="00860592"/>
    <w:rsid w:val="00863C0C"/>
    <w:rsid w:val="008719B1"/>
    <w:rsid w:val="0087319C"/>
    <w:rsid w:val="00897957"/>
    <w:rsid w:val="008B795B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55908"/>
    <w:rsid w:val="00A743B3"/>
    <w:rsid w:val="00A94048"/>
    <w:rsid w:val="00AB3C79"/>
    <w:rsid w:val="00AC5599"/>
    <w:rsid w:val="00AD40DF"/>
    <w:rsid w:val="00AF4840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3355C"/>
    <w:rsid w:val="00D45B4E"/>
    <w:rsid w:val="00D50B2B"/>
    <w:rsid w:val="00D60A58"/>
    <w:rsid w:val="00DB0346"/>
    <w:rsid w:val="00DB0DFA"/>
    <w:rsid w:val="00DD4491"/>
    <w:rsid w:val="00DF0011"/>
    <w:rsid w:val="00E15365"/>
    <w:rsid w:val="00E504B7"/>
    <w:rsid w:val="00E85668"/>
    <w:rsid w:val="00E86AAA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D5979BE-5B0D-4A3D-9555-6040B089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93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454D-56DD-44FD-8CDD-697CB518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Sci_FSarjoughoan</cp:lastModifiedBy>
  <cp:revision>96</cp:revision>
  <cp:lastPrinted>2018-07-09T15:10:00Z</cp:lastPrinted>
  <dcterms:created xsi:type="dcterms:W3CDTF">2018-06-27T18:09:00Z</dcterms:created>
  <dcterms:modified xsi:type="dcterms:W3CDTF">2019-04-29T07:01:00Z</dcterms:modified>
</cp:coreProperties>
</file>