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105D1" w14:textId="77777777" w:rsidR="00386634" w:rsidRPr="006F62BA" w:rsidRDefault="00386634" w:rsidP="00386634">
      <w:pPr>
        <w:spacing w:after="0"/>
        <w:jc w:val="right"/>
        <w:rPr>
          <w:rFonts w:ascii="Times New Roman" w:eastAsia="Times New Roman" w:hAnsi="Times New Roman" w:cs="Times New Roman"/>
          <w:sz w:val="28"/>
          <w:szCs w:val="28"/>
        </w:rPr>
      </w:pPr>
      <w:r w:rsidRPr="006F62BA">
        <w:rPr>
          <w:rFonts w:ascii="Times New Roman" w:eastAsia="Times New Roman" w:hAnsi="Times New Roman" w:cs="Times New Roman"/>
          <w:b/>
          <w:bCs/>
          <w:sz w:val="28"/>
          <w:szCs w:val="28"/>
        </w:rPr>
        <w:t>Course Title:</w:t>
      </w:r>
      <w:r w:rsidRPr="006F62BA">
        <w:rPr>
          <w:rFonts w:ascii="Times New Roman" w:eastAsia="Times New Roman" w:hAnsi="Times New Roman" w:cs="Times New Roman"/>
          <w:sz w:val="28"/>
          <w:szCs w:val="28"/>
        </w:rPr>
        <w:t xml:space="preserve"> Heterocyclic Chemistry II</w:t>
      </w:r>
    </w:p>
    <w:p w14:paraId="760A537D" w14:textId="77777777" w:rsidR="00386634" w:rsidRPr="006F62BA" w:rsidRDefault="00386634" w:rsidP="00386634">
      <w:pPr>
        <w:spacing w:after="0"/>
        <w:jc w:val="right"/>
        <w:rPr>
          <w:rFonts w:ascii="Times New Roman" w:eastAsia="Times New Roman" w:hAnsi="Times New Roman" w:cs="Times New Roman"/>
          <w:sz w:val="28"/>
          <w:szCs w:val="28"/>
          <w:rtl/>
        </w:rPr>
      </w:pPr>
    </w:p>
    <w:p w14:paraId="2CA3EB07" w14:textId="77777777" w:rsidR="00386634" w:rsidRPr="006F62BA" w:rsidRDefault="00386634" w:rsidP="00386634">
      <w:pPr>
        <w:spacing w:after="0"/>
        <w:jc w:val="center"/>
        <w:rPr>
          <w:rFonts w:ascii="Times New Roman" w:hAnsi="Times New Roman" w:cs="Times New Roman"/>
          <w:b/>
          <w:bCs/>
          <w:color w:val="000000"/>
          <w:sz w:val="20"/>
          <w:szCs w:val="20"/>
          <w:rtl/>
        </w:rPr>
      </w:pPr>
      <w:r w:rsidRPr="006F62BA">
        <w:rPr>
          <w:rFonts w:ascii="Times New Roman" w:hAnsi="Times New Roman" w:cs="Times New Roman"/>
          <w:b/>
          <w:bCs/>
          <w:color w:val="000000"/>
          <w:sz w:val="20"/>
          <w:szCs w:val="20"/>
        </w:rPr>
        <w:t xml:space="preserve">Credit Hours: </w:t>
      </w:r>
      <w:r w:rsidRPr="009E5D40">
        <w:rPr>
          <w:rFonts w:ascii="Times New Roman" w:hAnsi="Times New Roman" w:cs="Times New Roman"/>
          <w:color w:val="000000"/>
          <w:sz w:val="20"/>
          <w:szCs w:val="20"/>
        </w:rPr>
        <w:t>3 Units</w:t>
      </w:r>
    </w:p>
    <w:p w14:paraId="70BEFFB4" w14:textId="77777777" w:rsidR="00386634" w:rsidRPr="006F62BA" w:rsidRDefault="00386634" w:rsidP="00386634">
      <w:pPr>
        <w:spacing w:after="0" w:line="240" w:lineRule="auto"/>
        <w:jc w:val="center"/>
        <w:rPr>
          <w:rFonts w:ascii="Times New Roman" w:hAnsi="Times New Roman" w:cs="Times New Roman"/>
          <w:b/>
          <w:bCs/>
          <w:color w:val="000000"/>
          <w:sz w:val="20"/>
          <w:szCs w:val="20"/>
          <w:rtl/>
        </w:rPr>
      </w:pPr>
      <w:r w:rsidRPr="006F62BA">
        <w:rPr>
          <w:rFonts w:ascii="Times New Roman" w:hAnsi="Times New Roman" w:cs="Times New Roman"/>
          <w:b/>
          <w:bCs/>
          <w:color w:val="000000"/>
          <w:sz w:val="20"/>
          <w:szCs w:val="20"/>
        </w:rPr>
        <w:t xml:space="preserve">Prerequisite: </w:t>
      </w:r>
      <w:r w:rsidRPr="009E5D40">
        <w:rPr>
          <w:rFonts w:ascii="Times New Roman" w:hAnsi="Times New Roman" w:cs="Times New Roman"/>
          <w:color w:val="000000"/>
          <w:sz w:val="20"/>
          <w:szCs w:val="20"/>
        </w:rPr>
        <w:t>Heterocyclic Chemistry I</w:t>
      </w:r>
    </w:p>
    <w:p w14:paraId="2D35E000" w14:textId="33517F76" w:rsidR="000A25AF" w:rsidRPr="006F62BA" w:rsidRDefault="00386634" w:rsidP="00386634">
      <w:pPr>
        <w:bidi w:val="0"/>
        <w:spacing w:after="0" w:line="240" w:lineRule="auto"/>
        <w:jc w:val="center"/>
        <w:rPr>
          <w:rFonts w:ascii="Times New Roman" w:hAnsi="Times New Roman" w:cs="Times New Roman"/>
          <w:b/>
          <w:bCs/>
          <w:sz w:val="20"/>
          <w:szCs w:val="20"/>
        </w:rPr>
      </w:pPr>
      <w:r w:rsidRPr="006F62BA">
        <w:rPr>
          <w:rFonts w:ascii="Times New Roman" w:hAnsi="Times New Roman" w:cs="Times New Roman"/>
          <w:b/>
          <w:bCs/>
          <w:sz w:val="20"/>
          <w:szCs w:val="20"/>
        </w:rPr>
        <w:t xml:space="preserve">Instructor: </w:t>
      </w:r>
      <w:r w:rsidRPr="009E5D40">
        <w:rPr>
          <w:rFonts w:ascii="Times New Roman" w:hAnsi="Times New Roman" w:cs="Times New Roman"/>
          <w:sz w:val="20"/>
          <w:szCs w:val="20"/>
        </w:rPr>
        <w:t>Dr. Akram Ashouri</w:t>
      </w:r>
    </w:p>
    <w:p w14:paraId="657656B7" w14:textId="77777777" w:rsidR="00386634" w:rsidRPr="006F62BA" w:rsidRDefault="00386634" w:rsidP="00386634">
      <w:pPr>
        <w:bidi w:val="0"/>
        <w:spacing w:line="240" w:lineRule="auto"/>
        <w:jc w:val="both"/>
        <w:rPr>
          <w:rFonts w:ascii="Times New Roman" w:hAnsi="Times New Roman" w:cs="Times New Roman"/>
          <w:b/>
          <w:bCs/>
          <w:sz w:val="24"/>
          <w:szCs w:val="24"/>
        </w:rPr>
      </w:pPr>
    </w:p>
    <w:p w14:paraId="6FE5C466" w14:textId="0531E04B" w:rsidR="00386634" w:rsidRPr="00386634" w:rsidRDefault="00386634" w:rsidP="00386634">
      <w:pPr>
        <w:bidi w:val="0"/>
        <w:spacing w:line="240" w:lineRule="auto"/>
        <w:jc w:val="both"/>
        <w:rPr>
          <w:rFonts w:ascii="Times New Roman" w:hAnsi="Times New Roman" w:cs="Times New Roman"/>
          <w:b/>
          <w:bCs/>
          <w:sz w:val="24"/>
          <w:szCs w:val="24"/>
        </w:rPr>
      </w:pPr>
      <w:r w:rsidRPr="00386634">
        <w:rPr>
          <w:rFonts w:ascii="Times New Roman" w:hAnsi="Times New Roman" w:cs="Times New Roman"/>
          <w:b/>
          <w:bCs/>
          <w:sz w:val="24"/>
          <w:szCs w:val="24"/>
        </w:rPr>
        <w:t>General Course Objective:</w:t>
      </w:r>
    </w:p>
    <w:p w14:paraId="5CAC69A0" w14:textId="533A4707" w:rsidR="00386634" w:rsidRPr="009E5D40" w:rsidRDefault="00386634" w:rsidP="00386634">
      <w:pPr>
        <w:bidi w:val="0"/>
        <w:spacing w:line="240" w:lineRule="auto"/>
        <w:jc w:val="both"/>
        <w:rPr>
          <w:rFonts w:ascii="Times New Roman" w:hAnsi="Times New Roman" w:cs="Times New Roman"/>
          <w:sz w:val="24"/>
          <w:szCs w:val="24"/>
        </w:rPr>
      </w:pPr>
      <w:r w:rsidRPr="009E5D40">
        <w:rPr>
          <w:rFonts w:ascii="Times New Roman" w:hAnsi="Times New Roman" w:cs="Times New Roman"/>
          <w:sz w:val="24"/>
          <w:szCs w:val="24"/>
        </w:rPr>
        <w:t>This course focuses on the structure, synthesis, and advanced reactivity of five- and six-membered heterocyclic compounds containing more than one heteroatom (such as nitrogen, oxygen, and sulfur). Students will become familiar with modern synthetic pathways, reaction mechanisms, and the application of these compounds in drug design, bioactive molecules, and industrial processes. The course also includes case studies on the synthesis of important heterocyclic compounds and analysis of relevant research articles.</w:t>
      </w:r>
    </w:p>
    <w:p w14:paraId="6EFC6162" w14:textId="77777777" w:rsidR="0010531F" w:rsidRPr="006F62BA" w:rsidRDefault="0010531F" w:rsidP="008C04E6">
      <w:pPr>
        <w:spacing w:line="240" w:lineRule="auto"/>
        <w:jc w:val="both"/>
        <w:rPr>
          <w:rFonts w:ascii="Times New Roman" w:hAnsi="Times New Roman" w:cs="Times New Roman"/>
          <w:sz w:val="24"/>
          <w:szCs w:val="24"/>
          <w:rtl/>
        </w:rPr>
      </w:pPr>
    </w:p>
    <w:tbl>
      <w:tblPr>
        <w:bidiVisual/>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2262"/>
      </w:tblGrid>
      <w:tr w:rsidR="0073692F" w:rsidRPr="006F62BA" w14:paraId="6669B30C" w14:textId="77777777" w:rsidTr="000A25AF">
        <w:trPr>
          <w:trHeight w:val="468"/>
        </w:trPr>
        <w:tc>
          <w:tcPr>
            <w:tcW w:w="9632" w:type="dxa"/>
            <w:gridSpan w:val="2"/>
            <w:tcBorders>
              <w:top w:val="double" w:sz="4" w:space="0" w:color="auto"/>
              <w:left w:val="double" w:sz="4" w:space="0" w:color="auto"/>
              <w:bottom w:val="double" w:sz="4" w:space="0" w:color="auto"/>
              <w:right w:val="double" w:sz="4" w:space="0" w:color="auto"/>
            </w:tcBorders>
            <w:hideMark/>
          </w:tcPr>
          <w:p w14:paraId="6330E90E" w14:textId="01172A22" w:rsidR="0073692F" w:rsidRPr="006F62BA" w:rsidRDefault="00386634" w:rsidP="00386634">
            <w:pPr>
              <w:bidi w:val="0"/>
              <w:spacing w:after="0" w:line="240" w:lineRule="auto"/>
              <w:jc w:val="center"/>
              <w:rPr>
                <w:rFonts w:ascii="Times New Roman" w:hAnsi="Times New Roman" w:cs="Times New Roman"/>
                <w:b/>
                <w:bCs/>
                <w:sz w:val="24"/>
                <w:szCs w:val="24"/>
                <w:rtl/>
              </w:rPr>
            </w:pPr>
            <w:r w:rsidRPr="006F62BA">
              <w:rPr>
                <w:rFonts w:ascii="Times New Roman" w:hAnsi="Times New Roman" w:cs="Times New Roman"/>
                <w:b/>
                <w:bCs/>
                <w:sz w:val="24"/>
                <w:szCs w:val="24"/>
              </w:rPr>
              <w:t>Course Schedule</w:t>
            </w:r>
          </w:p>
        </w:tc>
      </w:tr>
      <w:tr w:rsidR="006F62BA" w:rsidRPr="006F62BA" w14:paraId="532EC4A2" w14:textId="77777777" w:rsidTr="00AC17B3">
        <w:trPr>
          <w:trHeight w:val="468"/>
        </w:trPr>
        <w:tc>
          <w:tcPr>
            <w:tcW w:w="7370" w:type="dxa"/>
            <w:tcBorders>
              <w:top w:val="double" w:sz="4" w:space="0" w:color="auto"/>
              <w:left w:val="double" w:sz="4" w:space="0" w:color="auto"/>
              <w:bottom w:val="single" w:sz="4" w:space="0" w:color="auto"/>
              <w:right w:val="single" w:sz="4" w:space="0" w:color="auto"/>
            </w:tcBorders>
            <w:vAlign w:val="center"/>
            <w:hideMark/>
          </w:tcPr>
          <w:p w14:paraId="0006C1F5" w14:textId="6FE1CBB0"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Review of fundamental concepts in heterocyclic chemistry and classification of heterocyclic systems</w:t>
            </w:r>
          </w:p>
        </w:tc>
        <w:tc>
          <w:tcPr>
            <w:tcW w:w="2262" w:type="dxa"/>
            <w:tcBorders>
              <w:top w:val="double" w:sz="4" w:space="0" w:color="auto"/>
              <w:left w:val="single" w:sz="4" w:space="0" w:color="auto"/>
              <w:bottom w:val="single" w:sz="4" w:space="0" w:color="auto"/>
              <w:right w:val="double" w:sz="4" w:space="0" w:color="auto"/>
            </w:tcBorders>
          </w:tcPr>
          <w:p w14:paraId="1E4B8B61" w14:textId="4AA18240"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1</w:t>
            </w:r>
          </w:p>
        </w:tc>
      </w:tr>
      <w:tr w:rsidR="006F62BA" w:rsidRPr="006F62BA" w14:paraId="331B6E68" w14:textId="77777777" w:rsidTr="00AC17B3">
        <w:trPr>
          <w:trHeight w:val="355"/>
        </w:trPr>
        <w:tc>
          <w:tcPr>
            <w:tcW w:w="7370" w:type="dxa"/>
            <w:tcBorders>
              <w:top w:val="single" w:sz="4" w:space="0" w:color="auto"/>
              <w:left w:val="double" w:sz="4" w:space="0" w:color="auto"/>
              <w:bottom w:val="single" w:sz="4" w:space="0" w:color="auto"/>
              <w:right w:val="single" w:sz="4" w:space="0" w:color="auto"/>
            </w:tcBorders>
            <w:vAlign w:val="center"/>
            <w:hideMark/>
          </w:tcPr>
          <w:p w14:paraId="443A4B66" w14:textId="44500D9B"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Synthetic methods for five-membered heterocycles with multiple heteroatoms</w:t>
            </w:r>
          </w:p>
        </w:tc>
        <w:tc>
          <w:tcPr>
            <w:tcW w:w="2262" w:type="dxa"/>
            <w:tcBorders>
              <w:top w:val="single" w:sz="4" w:space="0" w:color="auto"/>
              <w:left w:val="single" w:sz="4" w:space="0" w:color="auto"/>
              <w:bottom w:val="single" w:sz="4" w:space="0" w:color="auto"/>
              <w:right w:val="double" w:sz="4" w:space="0" w:color="auto"/>
            </w:tcBorders>
          </w:tcPr>
          <w:p w14:paraId="0B6B6C03" w14:textId="01593604"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2</w:t>
            </w:r>
          </w:p>
        </w:tc>
      </w:tr>
      <w:tr w:rsidR="006F62BA" w:rsidRPr="006F62BA" w14:paraId="4D53F078" w14:textId="77777777" w:rsidTr="00AC17B3">
        <w:trPr>
          <w:trHeight w:val="363"/>
        </w:trPr>
        <w:tc>
          <w:tcPr>
            <w:tcW w:w="7370" w:type="dxa"/>
            <w:tcBorders>
              <w:top w:val="single" w:sz="4" w:space="0" w:color="auto"/>
              <w:left w:val="double" w:sz="4" w:space="0" w:color="auto"/>
              <w:bottom w:val="single" w:sz="4" w:space="0" w:color="auto"/>
              <w:right w:val="single" w:sz="4" w:space="0" w:color="auto"/>
            </w:tcBorders>
            <w:vAlign w:val="center"/>
            <w:hideMark/>
          </w:tcPr>
          <w:p w14:paraId="3E6751EA" w14:textId="4E26D816"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Reactivity of azoles (Imidazole, Pyrazole, Triazole, Tetrazole)</w:t>
            </w:r>
          </w:p>
        </w:tc>
        <w:tc>
          <w:tcPr>
            <w:tcW w:w="2262" w:type="dxa"/>
            <w:tcBorders>
              <w:top w:val="single" w:sz="4" w:space="0" w:color="auto"/>
              <w:left w:val="single" w:sz="4" w:space="0" w:color="auto"/>
              <w:bottom w:val="single" w:sz="4" w:space="0" w:color="auto"/>
              <w:right w:val="double" w:sz="4" w:space="0" w:color="auto"/>
            </w:tcBorders>
          </w:tcPr>
          <w:p w14:paraId="1CBE5873" w14:textId="42807A60"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3</w:t>
            </w:r>
          </w:p>
        </w:tc>
      </w:tr>
      <w:tr w:rsidR="006F62BA" w:rsidRPr="006F62BA" w14:paraId="21B910D0" w14:textId="77777777" w:rsidTr="00AC17B3">
        <w:trPr>
          <w:trHeight w:val="385"/>
        </w:trPr>
        <w:tc>
          <w:tcPr>
            <w:tcW w:w="7370" w:type="dxa"/>
            <w:tcBorders>
              <w:top w:val="single" w:sz="4" w:space="0" w:color="auto"/>
              <w:left w:val="double" w:sz="4" w:space="0" w:color="auto"/>
              <w:bottom w:val="single" w:sz="4" w:space="0" w:color="auto"/>
              <w:right w:val="single" w:sz="4" w:space="0" w:color="auto"/>
            </w:tcBorders>
            <w:vAlign w:val="center"/>
            <w:hideMark/>
          </w:tcPr>
          <w:p w14:paraId="283D0A61" w14:textId="433CA998"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Synthesis of six-membered polyheterocyclic compounds (Pyridazine, Pyrimidine, Pyrazine)</w:t>
            </w:r>
          </w:p>
        </w:tc>
        <w:tc>
          <w:tcPr>
            <w:tcW w:w="2262" w:type="dxa"/>
            <w:tcBorders>
              <w:top w:val="single" w:sz="4" w:space="0" w:color="auto"/>
              <w:left w:val="single" w:sz="4" w:space="0" w:color="auto"/>
              <w:bottom w:val="single" w:sz="4" w:space="0" w:color="auto"/>
              <w:right w:val="double" w:sz="4" w:space="0" w:color="auto"/>
            </w:tcBorders>
          </w:tcPr>
          <w:p w14:paraId="48C3FC76" w14:textId="1A0DD3C9"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4</w:t>
            </w:r>
          </w:p>
        </w:tc>
      </w:tr>
      <w:tr w:rsidR="006F62BA" w:rsidRPr="006F62BA" w14:paraId="78A6C097" w14:textId="77777777" w:rsidTr="00AC17B3">
        <w:trPr>
          <w:trHeight w:val="392"/>
        </w:trPr>
        <w:tc>
          <w:tcPr>
            <w:tcW w:w="7370" w:type="dxa"/>
            <w:tcBorders>
              <w:top w:val="single" w:sz="4" w:space="0" w:color="auto"/>
              <w:left w:val="double" w:sz="4" w:space="0" w:color="auto"/>
              <w:bottom w:val="single" w:sz="4" w:space="0" w:color="auto"/>
              <w:right w:val="single" w:sz="4" w:space="0" w:color="auto"/>
            </w:tcBorders>
            <w:vAlign w:val="center"/>
            <w:hideMark/>
          </w:tcPr>
          <w:p w14:paraId="53C6BC26" w14:textId="094311C0"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Stability and aromaticity in polyheterocyclic systems</w:t>
            </w:r>
          </w:p>
        </w:tc>
        <w:tc>
          <w:tcPr>
            <w:tcW w:w="2262" w:type="dxa"/>
            <w:tcBorders>
              <w:top w:val="single" w:sz="4" w:space="0" w:color="auto"/>
              <w:left w:val="single" w:sz="4" w:space="0" w:color="auto"/>
              <w:bottom w:val="single" w:sz="4" w:space="0" w:color="auto"/>
              <w:right w:val="double" w:sz="4" w:space="0" w:color="auto"/>
            </w:tcBorders>
          </w:tcPr>
          <w:p w14:paraId="0A2CEDAD" w14:textId="013D5C4F"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5</w:t>
            </w:r>
          </w:p>
        </w:tc>
      </w:tr>
      <w:tr w:rsidR="006F62BA" w:rsidRPr="006F62BA" w14:paraId="558DF5C2" w14:textId="77777777" w:rsidTr="00AC17B3">
        <w:trPr>
          <w:trHeight w:val="448"/>
        </w:trPr>
        <w:tc>
          <w:tcPr>
            <w:tcW w:w="7370" w:type="dxa"/>
            <w:tcBorders>
              <w:top w:val="single" w:sz="4" w:space="0" w:color="auto"/>
              <w:left w:val="double" w:sz="4" w:space="0" w:color="auto"/>
              <w:bottom w:val="single" w:sz="4" w:space="0" w:color="auto"/>
              <w:right w:val="single" w:sz="4" w:space="0" w:color="auto"/>
            </w:tcBorders>
            <w:vAlign w:val="center"/>
            <w:hideMark/>
          </w:tcPr>
          <w:p w14:paraId="30374A48" w14:textId="6D0CAAF2"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Heterobicyclic compounds and their applications in drug design</w:t>
            </w:r>
          </w:p>
        </w:tc>
        <w:tc>
          <w:tcPr>
            <w:tcW w:w="2262" w:type="dxa"/>
            <w:tcBorders>
              <w:top w:val="single" w:sz="4" w:space="0" w:color="auto"/>
              <w:left w:val="single" w:sz="4" w:space="0" w:color="auto"/>
              <w:bottom w:val="single" w:sz="4" w:space="0" w:color="auto"/>
              <w:right w:val="double" w:sz="4" w:space="0" w:color="auto"/>
            </w:tcBorders>
          </w:tcPr>
          <w:p w14:paraId="54297583" w14:textId="039856BF"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6</w:t>
            </w:r>
          </w:p>
        </w:tc>
      </w:tr>
      <w:tr w:rsidR="006F62BA" w:rsidRPr="006F62BA" w14:paraId="004B37B5" w14:textId="77777777" w:rsidTr="00AC17B3">
        <w:trPr>
          <w:trHeight w:val="285"/>
        </w:trPr>
        <w:tc>
          <w:tcPr>
            <w:tcW w:w="7370" w:type="dxa"/>
            <w:tcBorders>
              <w:top w:val="single" w:sz="4" w:space="0" w:color="auto"/>
              <w:left w:val="double" w:sz="4" w:space="0" w:color="auto"/>
              <w:bottom w:val="single" w:sz="4" w:space="0" w:color="auto"/>
              <w:right w:val="single" w:sz="4" w:space="0" w:color="auto"/>
            </w:tcBorders>
            <w:vAlign w:val="center"/>
            <w:hideMark/>
          </w:tcPr>
          <w:p w14:paraId="421A0525" w14:textId="1A06E899"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Synthesis of fused heterocycles and cyclization methods</w:t>
            </w:r>
          </w:p>
        </w:tc>
        <w:tc>
          <w:tcPr>
            <w:tcW w:w="2262" w:type="dxa"/>
            <w:tcBorders>
              <w:top w:val="single" w:sz="4" w:space="0" w:color="auto"/>
              <w:left w:val="single" w:sz="4" w:space="0" w:color="auto"/>
              <w:bottom w:val="single" w:sz="4" w:space="0" w:color="auto"/>
              <w:right w:val="double" w:sz="4" w:space="0" w:color="auto"/>
            </w:tcBorders>
          </w:tcPr>
          <w:p w14:paraId="7B4424F8" w14:textId="0F2FD321"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7</w:t>
            </w:r>
          </w:p>
        </w:tc>
      </w:tr>
      <w:tr w:rsidR="006F62BA" w:rsidRPr="006F62BA" w14:paraId="54FFB984" w14:textId="77777777" w:rsidTr="00AC17B3">
        <w:trPr>
          <w:trHeight w:val="447"/>
        </w:trPr>
        <w:tc>
          <w:tcPr>
            <w:tcW w:w="7370" w:type="dxa"/>
            <w:tcBorders>
              <w:top w:val="single" w:sz="4" w:space="0" w:color="auto"/>
              <w:left w:val="double" w:sz="4" w:space="0" w:color="auto"/>
              <w:bottom w:val="single" w:sz="4" w:space="0" w:color="auto"/>
              <w:right w:val="single" w:sz="4" w:space="0" w:color="auto"/>
            </w:tcBorders>
            <w:vAlign w:val="center"/>
            <w:hideMark/>
          </w:tcPr>
          <w:p w14:paraId="60A4C6BC" w14:textId="1615F19A"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Applications of heterocyclic compounds in bioactive material synthesis</w:t>
            </w:r>
          </w:p>
        </w:tc>
        <w:tc>
          <w:tcPr>
            <w:tcW w:w="2262" w:type="dxa"/>
            <w:tcBorders>
              <w:top w:val="single" w:sz="4" w:space="0" w:color="auto"/>
              <w:left w:val="single" w:sz="4" w:space="0" w:color="auto"/>
              <w:bottom w:val="single" w:sz="4" w:space="0" w:color="auto"/>
              <w:right w:val="double" w:sz="4" w:space="0" w:color="auto"/>
            </w:tcBorders>
          </w:tcPr>
          <w:p w14:paraId="2C690C0A" w14:textId="380A0AF3"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8</w:t>
            </w:r>
          </w:p>
        </w:tc>
      </w:tr>
      <w:tr w:rsidR="006F62BA" w:rsidRPr="006F62BA" w14:paraId="35C639FD" w14:textId="77777777" w:rsidTr="00AC17B3">
        <w:trPr>
          <w:trHeight w:val="425"/>
        </w:trPr>
        <w:tc>
          <w:tcPr>
            <w:tcW w:w="7370" w:type="dxa"/>
            <w:tcBorders>
              <w:top w:val="single" w:sz="4" w:space="0" w:color="auto"/>
              <w:left w:val="double" w:sz="4" w:space="0" w:color="auto"/>
              <w:bottom w:val="single" w:sz="4" w:space="0" w:color="auto"/>
              <w:right w:val="single" w:sz="4" w:space="0" w:color="auto"/>
            </w:tcBorders>
            <w:vAlign w:val="center"/>
            <w:hideMark/>
          </w:tcPr>
          <w:p w14:paraId="717CEDA5" w14:textId="62E26760"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Use of heterocyclic derivatives as ligands and catalysts</w:t>
            </w:r>
          </w:p>
        </w:tc>
        <w:tc>
          <w:tcPr>
            <w:tcW w:w="2262" w:type="dxa"/>
            <w:tcBorders>
              <w:top w:val="single" w:sz="4" w:space="0" w:color="auto"/>
              <w:left w:val="single" w:sz="4" w:space="0" w:color="auto"/>
              <w:bottom w:val="single" w:sz="4" w:space="0" w:color="auto"/>
              <w:right w:val="double" w:sz="4" w:space="0" w:color="auto"/>
            </w:tcBorders>
          </w:tcPr>
          <w:p w14:paraId="60B5B3F9" w14:textId="2AA38676"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9</w:t>
            </w:r>
          </w:p>
        </w:tc>
      </w:tr>
      <w:tr w:rsidR="006F62BA" w:rsidRPr="006F62BA" w14:paraId="69C7E99A" w14:textId="77777777" w:rsidTr="00AC17B3">
        <w:trPr>
          <w:trHeight w:val="433"/>
        </w:trPr>
        <w:tc>
          <w:tcPr>
            <w:tcW w:w="7370" w:type="dxa"/>
            <w:tcBorders>
              <w:top w:val="single" w:sz="4" w:space="0" w:color="auto"/>
              <w:left w:val="double" w:sz="4" w:space="0" w:color="auto"/>
              <w:bottom w:val="single" w:sz="4" w:space="0" w:color="auto"/>
              <w:right w:val="single" w:sz="4" w:space="0" w:color="auto"/>
            </w:tcBorders>
            <w:vAlign w:val="center"/>
          </w:tcPr>
          <w:p w14:paraId="10AB7348" w14:textId="22A4C430"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Review session and Midterm Exam</w:t>
            </w:r>
          </w:p>
        </w:tc>
        <w:tc>
          <w:tcPr>
            <w:tcW w:w="2262" w:type="dxa"/>
            <w:tcBorders>
              <w:top w:val="single" w:sz="4" w:space="0" w:color="auto"/>
              <w:left w:val="single" w:sz="4" w:space="0" w:color="auto"/>
              <w:bottom w:val="single" w:sz="4" w:space="0" w:color="auto"/>
              <w:right w:val="double" w:sz="4" w:space="0" w:color="auto"/>
            </w:tcBorders>
          </w:tcPr>
          <w:p w14:paraId="1C7258DD" w14:textId="6F4B5792"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10</w:t>
            </w:r>
          </w:p>
        </w:tc>
      </w:tr>
      <w:tr w:rsidR="006F62BA" w:rsidRPr="006F62BA" w14:paraId="661EAA95" w14:textId="77777777" w:rsidTr="00AC17B3">
        <w:trPr>
          <w:trHeight w:val="395"/>
        </w:trPr>
        <w:tc>
          <w:tcPr>
            <w:tcW w:w="7370" w:type="dxa"/>
            <w:tcBorders>
              <w:top w:val="single" w:sz="4" w:space="0" w:color="auto"/>
              <w:left w:val="double" w:sz="4" w:space="0" w:color="auto"/>
              <w:bottom w:val="single" w:sz="4" w:space="0" w:color="auto"/>
              <w:right w:val="single" w:sz="4" w:space="0" w:color="auto"/>
            </w:tcBorders>
            <w:vAlign w:val="center"/>
          </w:tcPr>
          <w:p w14:paraId="3559B88D" w14:textId="26073803"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Case studies: synthesis of antiviral and anticancer drugs based on heterocycles</w:t>
            </w:r>
          </w:p>
        </w:tc>
        <w:tc>
          <w:tcPr>
            <w:tcW w:w="2262" w:type="dxa"/>
            <w:tcBorders>
              <w:top w:val="single" w:sz="4" w:space="0" w:color="auto"/>
              <w:left w:val="single" w:sz="4" w:space="0" w:color="auto"/>
              <w:bottom w:val="single" w:sz="4" w:space="0" w:color="auto"/>
              <w:right w:val="double" w:sz="4" w:space="0" w:color="auto"/>
            </w:tcBorders>
          </w:tcPr>
          <w:p w14:paraId="4E09B983" w14:textId="3C701E35" w:rsidR="006F62BA" w:rsidRPr="006F62BA" w:rsidRDefault="006F62BA" w:rsidP="006F62BA">
            <w:pPr>
              <w:tabs>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11</w:t>
            </w:r>
          </w:p>
        </w:tc>
      </w:tr>
      <w:tr w:rsidR="006F62BA" w:rsidRPr="006F62BA" w14:paraId="60062DEE" w14:textId="77777777" w:rsidTr="00AC17B3">
        <w:trPr>
          <w:trHeight w:val="416"/>
        </w:trPr>
        <w:tc>
          <w:tcPr>
            <w:tcW w:w="7370" w:type="dxa"/>
            <w:tcBorders>
              <w:top w:val="single" w:sz="4" w:space="0" w:color="auto"/>
              <w:left w:val="double" w:sz="4" w:space="0" w:color="auto"/>
              <w:bottom w:val="single" w:sz="4" w:space="0" w:color="auto"/>
              <w:right w:val="single" w:sz="4" w:space="0" w:color="auto"/>
            </w:tcBorders>
            <w:vAlign w:val="center"/>
          </w:tcPr>
          <w:p w14:paraId="418307B8" w14:textId="7DFC8502"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Selective synthesis of substituted heterocyclic derivatives</w:t>
            </w:r>
          </w:p>
        </w:tc>
        <w:tc>
          <w:tcPr>
            <w:tcW w:w="2262" w:type="dxa"/>
            <w:tcBorders>
              <w:top w:val="single" w:sz="4" w:space="0" w:color="auto"/>
              <w:left w:val="single" w:sz="4" w:space="0" w:color="auto"/>
              <w:bottom w:val="single" w:sz="4" w:space="0" w:color="auto"/>
              <w:right w:val="double" w:sz="4" w:space="0" w:color="auto"/>
            </w:tcBorders>
          </w:tcPr>
          <w:p w14:paraId="5ACC05C5" w14:textId="2544864E"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12</w:t>
            </w:r>
          </w:p>
        </w:tc>
      </w:tr>
      <w:tr w:rsidR="006F62BA" w:rsidRPr="006F62BA" w14:paraId="64FF16F0" w14:textId="77777777" w:rsidTr="00AC17B3">
        <w:trPr>
          <w:trHeight w:val="409"/>
        </w:trPr>
        <w:tc>
          <w:tcPr>
            <w:tcW w:w="7370" w:type="dxa"/>
            <w:tcBorders>
              <w:top w:val="single" w:sz="4" w:space="0" w:color="auto"/>
              <w:left w:val="double" w:sz="4" w:space="0" w:color="auto"/>
              <w:bottom w:val="single" w:sz="4" w:space="0" w:color="auto"/>
              <w:right w:val="single" w:sz="4" w:space="0" w:color="auto"/>
            </w:tcBorders>
            <w:vAlign w:val="center"/>
          </w:tcPr>
          <w:p w14:paraId="681CFBB8" w14:textId="5B878739"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Structure–Activity Relationship (SAR) analysis in heterocyclic drug compounds</w:t>
            </w:r>
          </w:p>
        </w:tc>
        <w:tc>
          <w:tcPr>
            <w:tcW w:w="2262" w:type="dxa"/>
            <w:tcBorders>
              <w:top w:val="single" w:sz="4" w:space="0" w:color="auto"/>
              <w:left w:val="single" w:sz="4" w:space="0" w:color="auto"/>
              <w:bottom w:val="single" w:sz="4" w:space="0" w:color="auto"/>
              <w:right w:val="double" w:sz="4" w:space="0" w:color="auto"/>
            </w:tcBorders>
          </w:tcPr>
          <w:p w14:paraId="3AF1B024" w14:textId="3EEB601E" w:rsidR="006F62BA" w:rsidRPr="006F62BA" w:rsidRDefault="006F62BA" w:rsidP="006F62BA">
            <w:pPr>
              <w:tabs>
                <w:tab w:val="left" w:pos="1740"/>
                <w:tab w:val="left" w:pos="6735"/>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13</w:t>
            </w:r>
          </w:p>
        </w:tc>
      </w:tr>
      <w:tr w:rsidR="006F62BA" w:rsidRPr="006F62BA" w14:paraId="3C1D7D4E" w14:textId="77777777" w:rsidTr="00AC17B3">
        <w:trPr>
          <w:trHeight w:val="415"/>
        </w:trPr>
        <w:tc>
          <w:tcPr>
            <w:tcW w:w="7370" w:type="dxa"/>
            <w:tcBorders>
              <w:top w:val="single" w:sz="4" w:space="0" w:color="auto"/>
              <w:left w:val="double" w:sz="4" w:space="0" w:color="auto"/>
              <w:bottom w:val="single" w:sz="4" w:space="0" w:color="auto"/>
              <w:right w:val="single" w:sz="4" w:space="0" w:color="auto"/>
            </w:tcBorders>
            <w:vAlign w:val="center"/>
          </w:tcPr>
          <w:p w14:paraId="291FE86E" w14:textId="795B8C51"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Review of recent scientific publications in heterocyclic chemistry</w:t>
            </w:r>
          </w:p>
        </w:tc>
        <w:tc>
          <w:tcPr>
            <w:tcW w:w="2262" w:type="dxa"/>
            <w:tcBorders>
              <w:top w:val="single" w:sz="4" w:space="0" w:color="auto"/>
              <w:left w:val="single" w:sz="4" w:space="0" w:color="auto"/>
              <w:bottom w:val="single" w:sz="4" w:space="0" w:color="auto"/>
              <w:right w:val="double" w:sz="4" w:space="0" w:color="auto"/>
            </w:tcBorders>
          </w:tcPr>
          <w:p w14:paraId="48248560" w14:textId="1E7757D4" w:rsidR="006F62BA" w:rsidRPr="006F62BA" w:rsidRDefault="006F62BA" w:rsidP="006F62BA">
            <w:pPr>
              <w:tabs>
                <w:tab w:val="left" w:pos="1740"/>
                <w:tab w:val="left" w:pos="6735"/>
                <w:tab w:val="right" w:pos="8901"/>
              </w:tabs>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14</w:t>
            </w:r>
          </w:p>
        </w:tc>
      </w:tr>
      <w:tr w:rsidR="006F62BA" w:rsidRPr="006F62BA" w14:paraId="29045BC5" w14:textId="77777777" w:rsidTr="00AC17B3">
        <w:trPr>
          <w:trHeight w:val="418"/>
        </w:trPr>
        <w:tc>
          <w:tcPr>
            <w:tcW w:w="7370" w:type="dxa"/>
            <w:tcBorders>
              <w:top w:val="single" w:sz="4" w:space="0" w:color="auto"/>
              <w:left w:val="double" w:sz="4" w:space="0" w:color="auto"/>
              <w:bottom w:val="single" w:sz="4" w:space="0" w:color="auto"/>
              <w:right w:val="single" w:sz="4" w:space="0" w:color="auto"/>
            </w:tcBorders>
            <w:vAlign w:val="center"/>
            <w:hideMark/>
          </w:tcPr>
          <w:p w14:paraId="525CF379" w14:textId="4822EDDF" w:rsidR="006F62BA" w:rsidRPr="006F62BA" w:rsidRDefault="006F62BA" w:rsidP="006F62BA">
            <w:pPr>
              <w:bidi w:val="0"/>
              <w:spacing w:after="0" w:line="240" w:lineRule="auto"/>
              <w:rPr>
                <w:rFonts w:ascii="Times New Roman" w:hAnsi="Times New Roman" w:cs="Times New Roman"/>
                <w:sz w:val="24"/>
                <w:szCs w:val="24"/>
                <w:rtl/>
              </w:rPr>
            </w:pPr>
            <w:r w:rsidRPr="006F62BA">
              <w:rPr>
                <w:rFonts w:ascii="Times New Roman" w:hAnsi="Times New Roman" w:cs="Times New Roman"/>
                <w:sz w:val="24"/>
                <w:szCs w:val="24"/>
              </w:rPr>
              <w:t>Student presentations on advanced synthetic pathways</w:t>
            </w:r>
          </w:p>
        </w:tc>
        <w:tc>
          <w:tcPr>
            <w:tcW w:w="2262" w:type="dxa"/>
            <w:tcBorders>
              <w:top w:val="single" w:sz="4" w:space="0" w:color="auto"/>
              <w:left w:val="single" w:sz="4" w:space="0" w:color="auto"/>
              <w:bottom w:val="single" w:sz="4" w:space="0" w:color="auto"/>
              <w:right w:val="double" w:sz="4" w:space="0" w:color="auto"/>
            </w:tcBorders>
          </w:tcPr>
          <w:p w14:paraId="52F55680" w14:textId="287FDF95" w:rsidR="006F62BA" w:rsidRPr="006F62BA" w:rsidRDefault="006F62BA" w:rsidP="006F62BA">
            <w:pPr>
              <w:bidi w:val="0"/>
              <w:spacing w:after="0" w:line="240" w:lineRule="auto"/>
              <w:jc w:val="center"/>
              <w:rPr>
                <w:rFonts w:ascii="Times New Roman" w:hAnsi="Times New Roman" w:cs="Times New Roman"/>
                <w:sz w:val="24"/>
                <w:szCs w:val="24"/>
                <w:rtl/>
              </w:rPr>
            </w:pPr>
            <w:r w:rsidRPr="006F62BA">
              <w:rPr>
                <w:rFonts w:ascii="Times New Roman" w:hAnsi="Times New Roman" w:cs="Times New Roman"/>
                <w:sz w:val="24"/>
                <w:szCs w:val="24"/>
              </w:rPr>
              <w:t>Week 15</w:t>
            </w:r>
          </w:p>
        </w:tc>
      </w:tr>
      <w:tr w:rsidR="006F62BA" w:rsidRPr="006F62BA" w14:paraId="372D2D4B" w14:textId="77777777" w:rsidTr="00386634">
        <w:trPr>
          <w:trHeight w:val="411"/>
        </w:trPr>
        <w:tc>
          <w:tcPr>
            <w:tcW w:w="7370" w:type="dxa"/>
            <w:tcBorders>
              <w:top w:val="single" w:sz="4" w:space="0" w:color="auto"/>
              <w:left w:val="double" w:sz="4" w:space="0" w:color="auto"/>
              <w:bottom w:val="double" w:sz="4" w:space="0" w:color="auto"/>
              <w:right w:val="single" w:sz="4" w:space="0" w:color="auto"/>
            </w:tcBorders>
            <w:hideMark/>
          </w:tcPr>
          <w:p w14:paraId="2741644B" w14:textId="73535FD7" w:rsidR="006F62BA" w:rsidRPr="006F62BA" w:rsidRDefault="006F62BA" w:rsidP="006F62BA">
            <w:pPr>
              <w:bidi w:val="0"/>
              <w:spacing w:after="0" w:line="240" w:lineRule="auto"/>
              <w:rPr>
                <w:rFonts w:ascii="Times New Roman" w:hAnsi="Times New Roman" w:cs="Times New Roman"/>
                <w:sz w:val="24"/>
                <w:szCs w:val="24"/>
              </w:rPr>
            </w:pPr>
            <w:r w:rsidRPr="006F62BA">
              <w:rPr>
                <w:rFonts w:ascii="Times New Roman" w:hAnsi="Times New Roman" w:cs="Times New Roman"/>
                <w:sz w:val="24"/>
                <w:szCs w:val="24"/>
              </w:rPr>
              <w:lastRenderedPageBreak/>
              <w:t>problem-solving session and course wrap-up</w:t>
            </w:r>
          </w:p>
        </w:tc>
        <w:tc>
          <w:tcPr>
            <w:tcW w:w="2262" w:type="dxa"/>
            <w:tcBorders>
              <w:top w:val="single" w:sz="4" w:space="0" w:color="auto"/>
              <w:left w:val="single" w:sz="4" w:space="0" w:color="auto"/>
              <w:bottom w:val="double" w:sz="4" w:space="0" w:color="auto"/>
              <w:right w:val="double" w:sz="4" w:space="0" w:color="auto"/>
            </w:tcBorders>
          </w:tcPr>
          <w:p w14:paraId="12B14EEA" w14:textId="20769C5C" w:rsidR="006F62BA" w:rsidRPr="006F62BA" w:rsidRDefault="006F62BA" w:rsidP="006F62BA">
            <w:pPr>
              <w:bidi w:val="0"/>
              <w:spacing w:after="0" w:line="240" w:lineRule="auto"/>
              <w:jc w:val="center"/>
              <w:rPr>
                <w:rFonts w:ascii="Times New Roman" w:hAnsi="Times New Roman" w:cs="Times New Roman"/>
                <w:sz w:val="24"/>
                <w:szCs w:val="24"/>
              </w:rPr>
            </w:pPr>
            <w:r w:rsidRPr="006F62BA">
              <w:rPr>
                <w:rFonts w:ascii="Times New Roman" w:hAnsi="Times New Roman" w:cs="Times New Roman"/>
                <w:sz w:val="24"/>
                <w:szCs w:val="24"/>
              </w:rPr>
              <w:t>Week 16</w:t>
            </w:r>
          </w:p>
        </w:tc>
      </w:tr>
    </w:tbl>
    <w:p w14:paraId="5B2F5842" w14:textId="77777777" w:rsidR="0010531F" w:rsidRPr="006F62BA" w:rsidRDefault="0010531F" w:rsidP="00D60DB7">
      <w:pPr>
        <w:spacing w:after="0" w:line="240" w:lineRule="auto"/>
        <w:rPr>
          <w:rFonts w:ascii="Times New Roman" w:hAnsi="Times New Roman" w:cs="Times New Roman"/>
          <w:b/>
          <w:bCs/>
          <w:sz w:val="24"/>
          <w:szCs w:val="24"/>
          <w:rtl/>
        </w:rPr>
      </w:pPr>
    </w:p>
    <w:p w14:paraId="4259B6CA" w14:textId="77777777" w:rsidR="0010531F" w:rsidRPr="006F62BA" w:rsidRDefault="0010531F" w:rsidP="00D60DB7">
      <w:pPr>
        <w:spacing w:after="0" w:line="240" w:lineRule="auto"/>
        <w:rPr>
          <w:rFonts w:ascii="Times New Roman" w:hAnsi="Times New Roman" w:cs="Times New Roman"/>
          <w:b/>
          <w:bCs/>
          <w:sz w:val="24"/>
          <w:szCs w:val="24"/>
          <w:rtl/>
        </w:rPr>
      </w:pPr>
    </w:p>
    <w:p w14:paraId="06C642EC" w14:textId="77777777" w:rsidR="0010531F" w:rsidRPr="006F62BA" w:rsidRDefault="0010531F" w:rsidP="00D60DB7">
      <w:pPr>
        <w:spacing w:after="0" w:line="240" w:lineRule="auto"/>
        <w:rPr>
          <w:rFonts w:ascii="Times New Roman" w:hAnsi="Times New Roman" w:cs="Times New Roman"/>
          <w:b/>
          <w:bCs/>
          <w:sz w:val="24"/>
          <w:szCs w:val="24"/>
          <w:rtl/>
        </w:rPr>
      </w:pPr>
    </w:p>
    <w:p w14:paraId="7F01FB8C" w14:textId="32C1C9C9" w:rsidR="0073692F" w:rsidRPr="006F62BA" w:rsidRDefault="00645E43" w:rsidP="00645E43">
      <w:pPr>
        <w:bidi w:val="0"/>
        <w:spacing w:after="0" w:line="240" w:lineRule="auto"/>
        <w:rPr>
          <w:rFonts w:ascii="Times New Roman" w:hAnsi="Times New Roman" w:cs="Times New Roman"/>
          <w:b/>
          <w:bCs/>
          <w:sz w:val="24"/>
          <w:szCs w:val="24"/>
          <w:rtl/>
        </w:rPr>
      </w:pPr>
      <w:r w:rsidRPr="006F62BA">
        <w:rPr>
          <w:rFonts w:ascii="Times New Roman" w:hAnsi="Times New Roman" w:cs="Times New Roman"/>
          <w:b/>
          <w:bCs/>
          <w:sz w:val="24"/>
          <w:szCs w:val="24"/>
        </w:rPr>
        <w:t>Student Evaluation Criteria:</w:t>
      </w:r>
    </w:p>
    <w:p w14:paraId="7480BA71" w14:textId="5DC498FA" w:rsidR="006F62BA" w:rsidRPr="006F62BA" w:rsidRDefault="00645E43" w:rsidP="006F62BA">
      <w:pPr>
        <w:bidi w:val="0"/>
        <w:spacing w:after="0" w:line="240" w:lineRule="auto"/>
        <w:rPr>
          <w:rFonts w:ascii="Times New Roman" w:hAnsi="Times New Roman" w:cs="Times New Roman"/>
          <w:b/>
          <w:bCs/>
          <w:sz w:val="24"/>
          <w:szCs w:val="24"/>
        </w:rPr>
      </w:pPr>
      <w:r w:rsidRPr="006F62BA">
        <w:rPr>
          <w:rFonts w:ascii="Times New Roman" w:hAnsi="Times New Roman" w:cs="Times New Roman"/>
          <w:sz w:val="24"/>
          <w:szCs w:val="24"/>
        </w:rPr>
        <w:t>Class attendance, participation, presentations, and in-class activities:</w:t>
      </w:r>
      <w:r w:rsidR="006F62BA" w:rsidRPr="006F62BA">
        <w:rPr>
          <w:rFonts w:ascii="Times New Roman" w:hAnsi="Times New Roman" w:cs="Times New Roman"/>
          <w:b/>
          <w:bCs/>
          <w:sz w:val="24"/>
          <w:szCs w:val="24"/>
        </w:rPr>
        <w:t>15%</w:t>
      </w:r>
    </w:p>
    <w:p w14:paraId="097D6EAD" w14:textId="5CA25349" w:rsidR="006F62BA" w:rsidRPr="006F62BA" w:rsidRDefault="006F62BA" w:rsidP="006F62BA">
      <w:pPr>
        <w:bidi w:val="0"/>
        <w:spacing w:after="0" w:line="240" w:lineRule="auto"/>
        <w:rPr>
          <w:rFonts w:ascii="Times New Roman" w:hAnsi="Times New Roman" w:cs="Times New Roman"/>
          <w:sz w:val="24"/>
          <w:szCs w:val="24"/>
        </w:rPr>
      </w:pPr>
      <w:r w:rsidRPr="006F62BA">
        <w:rPr>
          <w:rFonts w:ascii="Times New Roman" w:hAnsi="Times New Roman" w:cs="Times New Roman"/>
          <w:sz w:val="24"/>
          <w:szCs w:val="24"/>
        </w:rPr>
        <w:t xml:space="preserve">Midterm Exam: </w:t>
      </w:r>
      <w:r w:rsidRPr="006F62BA">
        <w:rPr>
          <w:rFonts w:ascii="Times New Roman" w:hAnsi="Times New Roman" w:cs="Times New Roman"/>
          <w:b/>
          <w:bCs/>
          <w:sz w:val="24"/>
          <w:szCs w:val="24"/>
        </w:rPr>
        <w:t>25%</w:t>
      </w:r>
    </w:p>
    <w:p w14:paraId="2C0B8C6F" w14:textId="4065F307" w:rsidR="006F62BA" w:rsidRPr="006F62BA" w:rsidRDefault="006F62BA" w:rsidP="006F62BA">
      <w:pPr>
        <w:bidi w:val="0"/>
        <w:spacing w:after="0" w:line="240" w:lineRule="auto"/>
        <w:rPr>
          <w:rFonts w:ascii="Times New Roman" w:hAnsi="Times New Roman" w:cs="Times New Roman"/>
          <w:sz w:val="24"/>
          <w:szCs w:val="24"/>
        </w:rPr>
      </w:pPr>
      <w:r w:rsidRPr="006F62BA">
        <w:rPr>
          <w:rFonts w:ascii="Times New Roman" w:hAnsi="Times New Roman" w:cs="Times New Roman"/>
          <w:sz w:val="24"/>
          <w:szCs w:val="24"/>
        </w:rPr>
        <w:t xml:space="preserve">Research project and final presentation: </w:t>
      </w:r>
      <w:r w:rsidRPr="006F62BA">
        <w:rPr>
          <w:rFonts w:ascii="Times New Roman" w:hAnsi="Times New Roman" w:cs="Times New Roman"/>
          <w:b/>
          <w:bCs/>
          <w:sz w:val="24"/>
          <w:szCs w:val="24"/>
        </w:rPr>
        <w:t>20%</w:t>
      </w:r>
    </w:p>
    <w:p w14:paraId="521750E5" w14:textId="754357FE" w:rsidR="006F62BA" w:rsidRPr="006F62BA" w:rsidRDefault="006F62BA" w:rsidP="006F62BA">
      <w:pPr>
        <w:bidi w:val="0"/>
        <w:spacing w:after="0" w:line="240" w:lineRule="auto"/>
        <w:rPr>
          <w:rFonts w:ascii="Times New Roman" w:hAnsi="Times New Roman" w:cs="Times New Roman"/>
          <w:sz w:val="24"/>
          <w:szCs w:val="24"/>
        </w:rPr>
      </w:pPr>
      <w:r w:rsidRPr="006F62BA">
        <w:rPr>
          <w:rFonts w:ascii="Times New Roman" w:hAnsi="Times New Roman" w:cs="Times New Roman"/>
          <w:sz w:val="24"/>
          <w:szCs w:val="24"/>
        </w:rPr>
        <w:t xml:space="preserve">Final Exam: </w:t>
      </w:r>
      <w:r w:rsidRPr="006F62BA">
        <w:rPr>
          <w:rFonts w:ascii="Times New Roman" w:hAnsi="Times New Roman" w:cs="Times New Roman"/>
          <w:b/>
          <w:bCs/>
          <w:sz w:val="24"/>
          <w:szCs w:val="24"/>
        </w:rPr>
        <w:t>40%</w:t>
      </w:r>
    </w:p>
    <w:p w14:paraId="489DAC07" w14:textId="77777777" w:rsidR="00645E43" w:rsidRPr="006F62BA" w:rsidRDefault="00645E43" w:rsidP="00645E43">
      <w:pPr>
        <w:bidi w:val="0"/>
        <w:spacing w:after="0" w:line="240" w:lineRule="auto"/>
        <w:rPr>
          <w:rFonts w:ascii="Times New Roman" w:hAnsi="Times New Roman" w:cs="Times New Roman"/>
          <w:b/>
          <w:bCs/>
          <w:sz w:val="24"/>
          <w:szCs w:val="24"/>
          <w:rtl/>
        </w:rPr>
      </w:pPr>
    </w:p>
    <w:p w14:paraId="173F465D" w14:textId="3EF21B8E" w:rsidR="00645E43" w:rsidRPr="006F62BA" w:rsidRDefault="00645E43" w:rsidP="00645E43">
      <w:pPr>
        <w:bidi w:val="0"/>
        <w:spacing w:after="120" w:line="240" w:lineRule="auto"/>
        <w:rPr>
          <w:rFonts w:ascii="Times New Roman" w:hAnsi="Times New Roman" w:cs="Times New Roman"/>
          <w:b/>
          <w:bCs/>
          <w:sz w:val="24"/>
          <w:szCs w:val="24"/>
        </w:rPr>
      </w:pPr>
      <w:r w:rsidRPr="006F62BA">
        <w:rPr>
          <w:rFonts w:ascii="Times New Roman" w:hAnsi="Times New Roman" w:cs="Times New Roman"/>
          <w:b/>
          <w:bCs/>
          <w:sz w:val="24"/>
          <w:szCs w:val="24"/>
        </w:rPr>
        <w:t>Suggested References:</w:t>
      </w:r>
    </w:p>
    <w:p w14:paraId="2F4194F0" w14:textId="4A3E5E3E" w:rsidR="00943296" w:rsidRPr="006F62BA" w:rsidRDefault="00943296" w:rsidP="006F62BA">
      <w:pPr>
        <w:pStyle w:val="ListParagraph"/>
        <w:numPr>
          <w:ilvl w:val="0"/>
          <w:numId w:val="3"/>
        </w:numPr>
        <w:bidi w:val="0"/>
        <w:spacing w:after="120" w:line="240" w:lineRule="auto"/>
        <w:rPr>
          <w:rFonts w:ascii="Times New Roman" w:hAnsi="Times New Roman" w:cs="Times New Roman"/>
          <w:sz w:val="24"/>
          <w:szCs w:val="24"/>
        </w:rPr>
      </w:pPr>
      <w:r w:rsidRPr="006F62BA">
        <w:rPr>
          <w:rFonts w:ascii="Times New Roman" w:hAnsi="Times New Roman" w:cs="Times New Roman"/>
          <w:sz w:val="24"/>
          <w:szCs w:val="24"/>
        </w:rPr>
        <w:t>The Chemistry of Heterocycles – T. Eicher and S. Hauptmann</w:t>
      </w:r>
    </w:p>
    <w:p w14:paraId="01FB95B4" w14:textId="009F184D" w:rsidR="00943296" w:rsidRPr="006F62BA" w:rsidRDefault="00943296" w:rsidP="006F62BA">
      <w:pPr>
        <w:pStyle w:val="ListParagraph"/>
        <w:numPr>
          <w:ilvl w:val="0"/>
          <w:numId w:val="3"/>
        </w:numPr>
        <w:bidi w:val="0"/>
        <w:spacing w:after="120" w:line="240" w:lineRule="auto"/>
        <w:rPr>
          <w:rFonts w:ascii="Times New Roman" w:hAnsi="Times New Roman" w:cs="Times New Roman"/>
          <w:sz w:val="24"/>
          <w:szCs w:val="24"/>
        </w:rPr>
      </w:pPr>
      <w:r w:rsidRPr="006F62BA">
        <w:rPr>
          <w:rFonts w:ascii="Times New Roman" w:hAnsi="Times New Roman" w:cs="Times New Roman"/>
          <w:sz w:val="24"/>
          <w:szCs w:val="24"/>
        </w:rPr>
        <w:t>Heterocyclic Chemistry – J.A. Joule and K. Mills</w:t>
      </w:r>
    </w:p>
    <w:p w14:paraId="2BAADE0D" w14:textId="3A42CD9F" w:rsidR="00943296" w:rsidRPr="006F62BA" w:rsidRDefault="00943296" w:rsidP="006F62BA">
      <w:pPr>
        <w:pStyle w:val="ListParagraph"/>
        <w:numPr>
          <w:ilvl w:val="0"/>
          <w:numId w:val="3"/>
        </w:numPr>
        <w:bidi w:val="0"/>
        <w:spacing w:after="120" w:line="240" w:lineRule="auto"/>
        <w:rPr>
          <w:rFonts w:ascii="Times New Roman" w:hAnsi="Times New Roman" w:cs="Times New Roman"/>
          <w:sz w:val="24"/>
          <w:szCs w:val="24"/>
        </w:rPr>
      </w:pPr>
      <w:r w:rsidRPr="006F62BA">
        <w:rPr>
          <w:rFonts w:ascii="Times New Roman" w:hAnsi="Times New Roman" w:cs="Times New Roman"/>
          <w:sz w:val="24"/>
          <w:szCs w:val="24"/>
        </w:rPr>
        <w:t>Contemporary Heterocyclic Chemistry – G.R. Newkome</w:t>
      </w:r>
    </w:p>
    <w:p w14:paraId="0705A469" w14:textId="0341043A" w:rsidR="0073692F" w:rsidRPr="006F62BA" w:rsidRDefault="00943296" w:rsidP="006F62BA">
      <w:pPr>
        <w:pStyle w:val="ListParagraph"/>
        <w:numPr>
          <w:ilvl w:val="0"/>
          <w:numId w:val="3"/>
        </w:numPr>
        <w:bidi w:val="0"/>
        <w:spacing w:after="120" w:line="240" w:lineRule="auto"/>
        <w:rPr>
          <w:rFonts w:ascii="Times New Roman" w:hAnsi="Times New Roman" w:cs="Times New Roman"/>
          <w:sz w:val="24"/>
          <w:szCs w:val="24"/>
          <w:rtl/>
        </w:rPr>
      </w:pPr>
      <w:r w:rsidRPr="006F62BA">
        <w:rPr>
          <w:rFonts w:ascii="Times New Roman" w:hAnsi="Times New Roman" w:cs="Times New Roman"/>
          <w:sz w:val="24"/>
          <w:szCs w:val="24"/>
        </w:rPr>
        <w:t>Selected articles from journals such as Heterocycles</w:t>
      </w:r>
      <w:r w:rsidR="009E5D40" w:rsidRPr="006F62BA">
        <w:rPr>
          <w:rFonts w:ascii="Times New Roman" w:hAnsi="Times New Roman" w:cs="Times New Roman"/>
          <w:sz w:val="24"/>
          <w:szCs w:val="24"/>
        </w:rPr>
        <w:t>–</w:t>
      </w:r>
      <w:bookmarkStart w:id="0" w:name="_GoBack"/>
      <w:bookmarkEnd w:id="0"/>
      <w:r w:rsidRPr="006F62BA">
        <w:rPr>
          <w:rFonts w:ascii="Times New Roman" w:hAnsi="Times New Roman" w:cs="Times New Roman"/>
          <w:sz w:val="24"/>
          <w:szCs w:val="24"/>
        </w:rPr>
        <w:t>Tetrahedron, and Journal of Medicinal Chemistry</w:t>
      </w:r>
    </w:p>
    <w:sectPr w:rsidR="0073692F" w:rsidRPr="006F62BA" w:rsidSect="00147388">
      <w:headerReference w:type="default" r:id="rId7"/>
      <w:pgSz w:w="12240" w:h="15840"/>
      <w:pgMar w:top="1440" w:right="1440" w:bottom="1440" w:left="1276"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03A8B" w14:textId="77777777" w:rsidR="00F46C00" w:rsidRDefault="00F46C00" w:rsidP="001A10D5">
      <w:pPr>
        <w:spacing w:after="0" w:line="240" w:lineRule="auto"/>
      </w:pPr>
      <w:r>
        <w:separator/>
      </w:r>
    </w:p>
  </w:endnote>
  <w:endnote w:type="continuationSeparator" w:id="0">
    <w:p w14:paraId="7AF4421A" w14:textId="77777777" w:rsidR="00F46C00" w:rsidRDefault="00F46C00" w:rsidP="001A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98602" w14:textId="77777777" w:rsidR="00F46C00" w:rsidRDefault="00F46C00" w:rsidP="001A10D5">
      <w:pPr>
        <w:spacing w:after="0" w:line="240" w:lineRule="auto"/>
      </w:pPr>
      <w:r>
        <w:separator/>
      </w:r>
    </w:p>
  </w:footnote>
  <w:footnote w:type="continuationSeparator" w:id="0">
    <w:p w14:paraId="41A9034D" w14:textId="77777777" w:rsidR="00F46C00" w:rsidRDefault="00F46C00" w:rsidP="001A1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ECC0" w14:textId="77777777" w:rsidR="001A10D5" w:rsidRDefault="001A10D5" w:rsidP="001A10D5">
    <w:pPr>
      <w:spacing w:after="0" w:line="240" w:lineRule="auto"/>
      <w:jc w:val="right"/>
      <w:rPr>
        <w:b/>
        <w:bCs/>
      </w:rPr>
    </w:pPr>
    <w:r>
      <w:rPr>
        <w:noProof/>
        <w:lang w:bidi="ar-SA"/>
      </w:rPr>
      <mc:AlternateContent>
        <mc:Choice Requires="wps">
          <w:drawing>
            <wp:anchor distT="0" distB="0" distL="114300" distR="114300" simplePos="0" relativeHeight="251659264" behindDoc="0" locked="0" layoutInCell="1" allowOverlap="1" wp14:anchorId="06934C2C" wp14:editId="5BDDDEB1">
              <wp:simplePos x="0" y="0"/>
              <wp:positionH relativeFrom="column">
                <wp:posOffset>473075</wp:posOffset>
              </wp:positionH>
              <wp:positionV relativeFrom="paragraph">
                <wp:posOffset>181449</wp:posOffset>
              </wp:positionV>
              <wp:extent cx="1752600"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52600" cy="400050"/>
                      </a:xfrm>
                      <a:prstGeom prst="rect">
                        <a:avLst/>
                      </a:prstGeom>
                      <a:noFill/>
                      <a:ln w="6350">
                        <a:noFill/>
                      </a:ln>
                      <a:effectLst/>
                    </wps:spPr>
                    <wps:txbx>
                      <w:txbxContent>
                        <w:p w14:paraId="4AB8492E"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Faculty OF Science</w:t>
                          </w:r>
                        </w:p>
                        <w:p w14:paraId="1ADC51DD"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D</w:t>
                          </w:r>
                          <w:r>
                            <w:rPr>
                              <w:b/>
                              <w:bCs/>
                              <w:color w:val="1F4E79" w:themeColor="accent1" w:themeShade="80"/>
                              <w:sz w:val="18"/>
                              <w:szCs w:val="18"/>
                            </w:rPr>
                            <w:t>epartment</w:t>
                          </w:r>
                          <w:r w:rsidRPr="005377FB">
                            <w:rPr>
                              <w:b/>
                              <w:bCs/>
                              <w:color w:val="1F4E79" w:themeColor="accent1" w:themeShade="80"/>
                              <w:sz w:val="18"/>
                              <w:szCs w:val="18"/>
                            </w:rPr>
                            <w:t xml:space="preserve"> of C</w:t>
                          </w:r>
                          <w:r>
                            <w:rPr>
                              <w:b/>
                              <w:bCs/>
                              <w:color w:val="1F4E79" w:themeColor="accent1" w:themeShade="80"/>
                              <w:sz w:val="18"/>
                              <w:szCs w:val="18"/>
                            </w:rPr>
                            <w:t>hemistry</w:t>
                          </w:r>
                          <w:r w:rsidRPr="005377FB">
                            <w:rPr>
                              <w:b/>
                              <w:bCs/>
                              <w:color w:val="1F4E79" w:themeColor="accent1" w:themeShade="8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34C2C" id="_x0000_t202" coordsize="21600,21600" o:spt="202" path="m,l,21600r21600,l21600,xe">
              <v:stroke joinstyle="miter"/>
              <v:path gradientshapeok="t" o:connecttype="rect"/>
            </v:shapetype>
            <v:shape id="Text Box 1" o:spid="_x0000_s1026" type="#_x0000_t202" style="position:absolute;margin-left:37.25pt;margin-top:14.3pt;width:138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" filled="f" stroked="f" strokeweight=".5pt">
              <v:textbox>
                <w:txbxContent>
                  <w:p w14:paraId="4AB8492E"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Faculty OF Science</w:t>
                    </w:r>
                  </w:p>
                  <w:p w14:paraId="1ADC51DD" w14:textId="77777777" w:rsidR="001A10D5" w:rsidRPr="005377FB" w:rsidRDefault="001A10D5" w:rsidP="001A10D5">
                    <w:pPr>
                      <w:spacing w:after="0" w:line="240" w:lineRule="auto"/>
                      <w:jc w:val="right"/>
                      <w:rPr>
                        <w:b/>
                        <w:bCs/>
                        <w:color w:val="1F4E79" w:themeColor="accent1" w:themeShade="80"/>
                        <w:sz w:val="18"/>
                        <w:szCs w:val="18"/>
                      </w:rPr>
                    </w:pPr>
                    <w:r w:rsidRPr="005377FB">
                      <w:rPr>
                        <w:b/>
                        <w:bCs/>
                        <w:color w:val="1F4E79" w:themeColor="accent1" w:themeShade="80"/>
                        <w:sz w:val="18"/>
                        <w:szCs w:val="18"/>
                      </w:rPr>
                      <w:t>D</w:t>
                    </w:r>
                    <w:r>
                      <w:rPr>
                        <w:b/>
                        <w:bCs/>
                        <w:color w:val="1F4E79" w:themeColor="accent1" w:themeShade="80"/>
                        <w:sz w:val="18"/>
                        <w:szCs w:val="18"/>
                      </w:rPr>
                      <w:t>epartment</w:t>
                    </w:r>
                    <w:r w:rsidRPr="005377FB">
                      <w:rPr>
                        <w:b/>
                        <w:bCs/>
                        <w:color w:val="1F4E79" w:themeColor="accent1" w:themeShade="80"/>
                        <w:sz w:val="18"/>
                        <w:szCs w:val="18"/>
                      </w:rPr>
                      <w:t xml:space="preserve"> of C</w:t>
                    </w:r>
                    <w:r>
                      <w:rPr>
                        <w:b/>
                        <w:bCs/>
                        <w:color w:val="1F4E79" w:themeColor="accent1" w:themeShade="80"/>
                        <w:sz w:val="18"/>
                        <w:szCs w:val="18"/>
                      </w:rPr>
                      <w:t>hemistry</w:t>
                    </w:r>
                    <w:r w:rsidRPr="005377FB">
                      <w:rPr>
                        <w:b/>
                        <w:bCs/>
                        <w:color w:val="1F4E79" w:themeColor="accent1" w:themeShade="80"/>
                        <w:sz w:val="18"/>
                        <w:szCs w:val="18"/>
                      </w:rPr>
                      <w:t xml:space="preserve"> </w:t>
                    </w:r>
                  </w:p>
                </w:txbxContent>
              </v:textbox>
            </v:shape>
          </w:pict>
        </mc:Fallback>
      </mc:AlternateContent>
    </w:r>
    <w:r>
      <w:rPr>
        <w:b/>
        <w:bCs/>
        <w:noProof/>
        <w:lang w:bidi="ar-SA"/>
      </w:rPr>
      <w:drawing>
        <wp:inline distT="0" distB="0" distL="0" distR="0" wp14:anchorId="69B51AAB" wp14:editId="63CD0150">
          <wp:extent cx="1863484" cy="5810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5" cy="581502"/>
                  </a:xfrm>
                  <a:prstGeom prst="rect">
                    <a:avLst/>
                  </a:prstGeom>
                  <a:noFill/>
                  <a:ln>
                    <a:noFill/>
                  </a:ln>
                </pic:spPr>
              </pic:pic>
            </a:graphicData>
          </a:graphic>
        </wp:inline>
      </w:drawing>
    </w:r>
  </w:p>
  <w:p w14:paraId="244666E8" w14:textId="77777777" w:rsidR="001A10D5" w:rsidRDefault="001A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D5910"/>
    <w:multiLevelType w:val="hybridMultilevel"/>
    <w:tmpl w:val="94EEE914"/>
    <w:lvl w:ilvl="0" w:tplc="8C3C5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22EF0"/>
    <w:multiLevelType w:val="multilevel"/>
    <w:tmpl w:val="AD52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6E36"/>
    <w:multiLevelType w:val="hybridMultilevel"/>
    <w:tmpl w:val="9DE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97652"/>
    <w:multiLevelType w:val="multilevel"/>
    <w:tmpl w:val="DD9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C7124"/>
    <w:multiLevelType w:val="hybridMultilevel"/>
    <w:tmpl w:val="5DDE9B94"/>
    <w:lvl w:ilvl="0" w:tplc="688AD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2F"/>
    <w:rsid w:val="00053839"/>
    <w:rsid w:val="000A1479"/>
    <w:rsid w:val="000A25AF"/>
    <w:rsid w:val="000B1A56"/>
    <w:rsid w:val="000C08CB"/>
    <w:rsid w:val="000E160B"/>
    <w:rsid w:val="0010531F"/>
    <w:rsid w:val="001317D7"/>
    <w:rsid w:val="00132547"/>
    <w:rsid w:val="00132550"/>
    <w:rsid w:val="00147388"/>
    <w:rsid w:val="0017316A"/>
    <w:rsid w:val="001844D0"/>
    <w:rsid w:val="001A10D5"/>
    <w:rsid w:val="001F42F4"/>
    <w:rsid w:val="00297B84"/>
    <w:rsid w:val="00334FF5"/>
    <w:rsid w:val="0033604C"/>
    <w:rsid w:val="00352601"/>
    <w:rsid w:val="00364EC9"/>
    <w:rsid w:val="00381414"/>
    <w:rsid w:val="00386634"/>
    <w:rsid w:val="004018AA"/>
    <w:rsid w:val="00444916"/>
    <w:rsid w:val="004537B5"/>
    <w:rsid w:val="004656EF"/>
    <w:rsid w:val="005E2075"/>
    <w:rsid w:val="00617274"/>
    <w:rsid w:val="006452CD"/>
    <w:rsid w:val="00645E43"/>
    <w:rsid w:val="006755DE"/>
    <w:rsid w:val="006B1126"/>
    <w:rsid w:val="006C63A5"/>
    <w:rsid w:val="006F62BA"/>
    <w:rsid w:val="0073692F"/>
    <w:rsid w:val="00764EAD"/>
    <w:rsid w:val="007860D3"/>
    <w:rsid w:val="007C7085"/>
    <w:rsid w:val="00833EB5"/>
    <w:rsid w:val="00854BC1"/>
    <w:rsid w:val="008C04E6"/>
    <w:rsid w:val="008C14F2"/>
    <w:rsid w:val="008E000E"/>
    <w:rsid w:val="008E14A5"/>
    <w:rsid w:val="008E5C94"/>
    <w:rsid w:val="00925CE9"/>
    <w:rsid w:val="00943296"/>
    <w:rsid w:val="00953E6D"/>
    <w:rsid w:val="0095563C"/>
    <w:rsid w:val="00987798"/>
    <w:rsid w:val="00992422"/>
    <w:rsid w:val="00994F27"/>
    <w:rsid w:val="00995349"/>
    <w:rsid w:val="009E5D40"/>
    <w:rsid w:val="00A328F3"/>
    <w:rsid w:val="00A42540"/>
    <w:rsid w:val="00AA73F8"/>
    <w:rsid w:val="00AD3938"/>
    <w:rsid w:val="00AF7715"/>
    <w:rsid w:val="00AF7D25"/>
    <w:rsid w:val="00B0220B"/>
    <w:rsid w:val="00B27B03"/>
    <w:rsid w:val="00B46682"/>
    <w:rsid w:val="00B97B1D"/>
    <w:rsid w:val="00CE0C16"/>
    <w:rsid w:val="00CE373A"/>
    <w:rsid w:val="00D46AFF"/>
    <w:rsid w:val="00D60DB7"/>
    <w:rsid w:val="00DC16D0"/>
    <w:rsid w:val="00DC5F9D"/>
    <w:rsid w:val="00ED5983"/>
    <w:rsid w:val="00EE4908"/>
    <w:rsid w:val="00EF57FD"/>
    <w:rsid w:val="00F02201"/>
    <w:rsid w:val="00F46C00"/>
    <w:rsid w:val="00F8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DF5E"/>
  <w15:docId w15:val="{36EC8CFC-4874-4062-A6D8-26B56E0D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2F"/>
    <w:pPr>
      <w:bidi/>
      <w:spacing w:after="200" w:line="276" w:lineRule="auto"/>
    </w:pPr>
    <w:rPr>
      <w:rFonts w:ascii="Calibri" w:eastAsia="Calibri" w:hAnsi="Calibri" w:cs="Arial"/>
      <w:lang w:bidi="fa-IR"/>
    </w:rPr>
  </w:style>
  <w:style w:type="paragraph" w:styleId="Heading1">
    <w:name w:val="heading 1"/>
    <w:basedOn w:val="Normal"/>
    <w:next w:val="Normal"/>
    <w:link w:val="Heading1Char"/>
    <w:qFormat/>
    <w:rsid w:val="00D60DB7"/>
    <w:pPr>
      <w:keepNext/>
      <w:spacing w:after="0" w:line="240" w:lineRule="auto"/>
      <w:outlineLvl w:val="0"/>
    </w:pPr>
    <w:rPr>
      <w:rFonts w:ascii="Times New Roman" w:eastAsia="Times New Roman" w:hAnsi="Times New Roman" w:cs="Lotus"/>
      <w:sz w:val="28"/>
      <w:szCs w:val="28"/>
    </w:rPr>
  </w:style>
  <w:style w:type="paragraph" w:styleId="Heading3">
    <w:name w:val="heading 3"/>
    <w:basedOn w:val="Normal"/>
    <w:next w:val="Normal"/>
    <w:link w:val="Heading3Char"/>
    <w:uiPriority w:val="9"/>
    <w:semiHidden/>
    <w:unhideWhenUsed/>
    <w:qFormat/>
    <w:rsid w:val="00386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0B"/>
    <w:pPr>
      <w:ind w:left="720"/>
      <w:contextualSpacing/>
    </w:pPr>
  </w:style>
  <w:style w:type="table" w:styleId="TableGrid">
    <w:name w:val="Table Grid"/>
    <w:basedOn w:val="TableNormal"/>
    <w:uiPriority w:val="59"/>
    <w:rsid w:val="006B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60DB7"/>
    <w:rPr>
      <w:rFonts w:ascii="Times New Roman" w:eastAsia="Times New Roman" w:hAnsi="Times New Roman" w:cs="Lotus"/>
      <w:sz w:val="28"/>
      <w:szCs w:val="28"/>
      <w:lang w:bidi="fa-IR"/>
    </w:rPr>
  </w:style>
  <w:style w:type="paragraph" w:styleId="Header">
    <w:name w:val="header"/>
    <w:basedOn w:val="Normal"/>
    <w:link w:val="HeaderChar"/>
    <w:uiPriority w:val="99"/>
    <w:unhideWhenUsed/>
    <w:rsid w:val="001A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0D5"/>
    <w:rPr>
      <w:rFonts w:ascii="Calibri" w:eastAsia="Calibri" w:hAnsi="Calibri" w:cs="Arial"/>
      <w:lang w:bidi="fa-IR"/>
    </w:rPr>
  </w:style>
  <w:style w:type="paragraph" w:styleId="Footer">
    <w:name w:val="footer"/>
    <w:basedOn w:val="Normal"/>
    <w:link w:val="FooterChar"/>
    <w:uiPriority w:val="99"/>
    <w:unhideWhenUsed/>
    <w:rsid w:val="001A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0D5"/>
    <w:rPr>
      <w:rFonts w:ascii="Calibri" w:eastAsia="Calibri" w:hAnsi="Calibri" w:cs="Arial"/>
      <w:lang w:bidi="fa-IR"/>
    </w:rPr>
  </w:style>
  <w:style w:type="paragraph" w:styleId="BalloonText">
    <w:name w:val="Balloon Text"/>
    <w:basedOn w:val="Normal"/>
    <w:link w:val="BalloonTextChar"/>
    <w:uiPriority w:val="99"/>
    <w:semiHidden/>
    <w:unhideWhenUsed/>
    <w:rsid w:val="001A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D5"/>
    <w:rPr>
      <w:rFonts w:ascii="Tahoma" w:eastAsia="Calibri" w:hAnsi="Tahoma" w:cs="Tahoma"/>
      <w:sz w:val="16"/>
      <w:szCs w:val="16"/>
      <w:lang w:bidi="fa-IR"/>
    </w:rPr>
  </w:style>
  <w:style w:type="character" w:customStyle="1" w:styleId="Heading3Char">
    <w:name w:val="Heading 3 Char"/>
    <w:basedOn w:val="DefaultParagraphFont"/>
    <w:link w:val="Heading3"/>
    <w:uiPriority w:val="9"/>
    <w:semiHidden/>
    <w:rsid w:val="00386634"/>
    <w:rPr>
      <w:rFonts w:asciiTheme="majorHAnsi" w:eastAsiaTheme="majorEastAsia" w:hAnsiTheme="majorHAnsi" w:cstheme="majorBidi"/>
      <w:color w:val="1F4D78" w:themeColor="accent1" w:themeShade="7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74196">
      <w:bodyDiv w:val="1"/>
      <w:marLeft w:val="0"/>
      <w:marRight w:val="0"/>
      <w:marTop w:val="0"/>
      <w:marBottom w:val="0"/>
      <w:divBdr>
        <w:top w:val="none" w:sz="0" w:space="0" w:color="auto"/>
        <w:left w:val="none" w:sz="0" w:space="0" w:color="auto"/>
        <w:bottom w:val="none" w:sz="0" w:space="0" w:color="auto"/>
        <w:right w:val="none" w:sz="0" w:space="0" w:color="auto"/>
      </w:divBdr>
    </w:div>
    <w:div w:id="529996993">
      <w:bodyDiv w:val="1"/>
      <w:marLeft w:val="0"/>
      <w:marRight w:val="0"/>
      <w:marTop w:val="0"/>
      <w:marBottom w:val="0"/>
      <w:divBdr>
        <w:top w:val="none" w:sz="0" w:space="0" w:color="auto"/>
        <w:left w:val="none" w:sz="0" w:space="0" w:color="auto"/>
        <w:bottom w:val="none" w:sz="0" w:space="0" w:color="auto"/>
        <w:right w:val="none" w:sz="0" w:space="0" w:color="auto"/>
      </w:divBdr>
    </w:div>
    <w:div w:id="1154757148">
      <w:bodyDiv w:val="1"/>
      <w:marLeft w:val="0"/>
      <w:marRight w:val="0"/>
      <w:marTop w:val="0"/>
      <w:marBottom w:val="0"/>
      <w:divBdr>
        <w:top w:val="none" w:sz="0" w:space="0" w:color="auto"/>
        <w:left w:val="none" w:sz="0" w:space="0" w:color="auto"/>
        <w:bottom w:val="none" w:sz="0" w:space="0" w:color="auto"/>
        <w:right w:val="none" w:sz="0" w:space="0" w:color="auto"/>
      </w:divBdr>
    </w:div>
    <w:div w:id="1171138613">
      <w:bodyDiv w:val="1"/>
      <w:marLeft w:val="0"/>
      <w:marRight w:val="0"/>
      <w:marTop w:val="0"/>
      <w:marBottom w:val="0"/>
      <w:divBdr>
        <w:top w:val="none" w:sz="0" w:space="0" w:color="auto"/>
        <w:left w:val="none" w:sz="0" w:space="0" w:color="auto"/>
        <w:bottom w:val="none" w:sz="0" w:space="0" w:color="auto"/>
        <w:right w:val="none" w:sz="0" w:space="0" w:color="auto"/>
      </w:divBdr>
    </w:div>
    <w:div w:id="1302463949">
      <w:bodyDiv w:val="1"/>
      <w:marLeft w:val="0"/>
      <w:marRight w:val="0"/>
      <w:marTop w:val="0"/>
      <w:marBottom w:val="0"/>
      <w:divBdr>
        <w:top w:val="none" w:sz="0" w:space="0" w:color="auto"/>
        <w:left w:val="none" w:sz="0" w:space="0" w:color="auto"/>
        <w:bottom w:val="none" w:sz="0" w:space="0" w:color="auto"/>
        <w:right w:val="none" w:sz="0" w:space="0" w:color="auto"/>
      </w:divBdr>
    </w:div>
    <w:div w:id="1522278249">
      <w:bodyDiv w:val="1"/>
      <w:marLeft w:val="0"/>
      <w:marRight w:val="0"/>
      <w:marTop w:val="0"/>
      <w:marBottom w:val="0"/>
      <w:divBdr>
        <w:top w:val="none" w:sz="0" w:space="0" w:color="auto"/>
        <w:left w:val="none" w:sz="0" w:space="0" w:color="auto"/>
        <w:bottom w:val="none" w:sz="0" w:space="0" w:color="auto"/>
        <w:right w:val="none" w:sz="0" w:space="0" w:color="auto"/>
      </w:divBdr>
    </w:div>
    <w:div w:id="2077195165">
      <w:bodyDiv w:val="1"/>
      <w:marLeft w:val="0"/>
      <w:marRight w:val="0"/>
      <w:marTop w:val="0"/>
      <w:marBottom w:val="0"/>
      <w:divBdr>
        <w:top w:val="none" w:sz="0" w:space="0" w:color="auto"/>
        <w:left w:val="none" w:sz="0" w:space="0" w:color="auto"/>
        <w:bottom w:val="none" w:sz="0" w:space="0" w:color="auto"/>
        <w:right w:val="none" w:sz="0" w:space="0" w:color="auto"/>
      </w:divBdr>
    </w:div>
    <w:div w:id="2084142217">
      <w:bodyDiv w:val="1"/>
      <w:marLeft w:val="0"/>
      <w:marRight w:val="0"/>
      <w:marTop w:val="0"/>
      <w:marBottom w:val="0"/>
      <w:divBdr>
        <w:top w:val="none" w:sz="0" w:space="0" w:color="auto"/>
        <w:left w:val="none" w:sz="0" w:space="0" w:color="auto"/>
        <w:bottom w:val="none" w:sz="0" w:space="0" w:color="auto"/>
        <w:right w:val="none" w:sz="0" w:space="0" w:color="auto"/>
      </w:divBdr>
    </w:div>
    <w:div w:id="21011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SONY</cp:lastModifiedBy>
  <cp:revision>4</cp:revision>
  <cp:lastPrinted>2018-09-07T11:53:00Z</cp:lastPrinted>
  <dcterms:created xsi:type="dcterms:W3CDTF">2025-04-13T19:27:00Z</dcterms:created>
  <dcterms:modified xsi:type="dcterms:W3CDTF">2025-04-13T19:59:00Z</dcterms:modified>
</cp:coreProperties>
</file>