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8D" w:rsidRPr="003B44BB" w:rsidRDefault="004A22BE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<v:imagedata r:id="rId8" o:title="index"/>
            </v:shape>
            <w10:wrap type="none"/>
            <w10:anchorlock/>
          </v:group>
        </w:pic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3F029A" w:rsidP="00212865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نظریه مکانیابی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A363CE" w:rsidP="00A363CE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یک</w:t>
            </w:r>
            <w:r w:rsidR="00010C28">
              <w:rPr>
                <w:rFonts w:hint="cs"/>
                <w:sz w:val="20"/>
                <w:rtl/>
                <w:lang w:bidi="fa-IR"/>
              </w:rPr>
              <w:t xml:space="preserve">شنیه </w:t>
            </w:r>
            <w:r w:rsidR="00212865">
              <w:rPr>
                <w:rFonts w:hint="cs"/>
                <w:sz w:val="20"/>
                <w:rtl/>
                <w:lang w:bidi="fa-IR"/>
              </w:rPr>
              <w:t>16</w:t>
            </w:r>
            <w:r w:rsidR="00010C28">
              <w:rPr>
                <w:rFonts w:hint="cs"/>
                <w:sz w:val="20"/>
                <w:rtl/>
                <w:lang w:bidi="fa-IR"/>
              </w:rPr>
              <w:t>-1</w:t>
            </w:r>
            <w:r w:rsidR="00212865">
              <w:rPr>
                <w:rFonts w:hint="cs"/>
                <w:sz w:val="20"/>
                <w:rtl/>
                <w:lang w:bidi="fa-IR"/>
              </w:rPr>
              <w:t>8</w:t>
            </w:r>
            <w:r w:rsidR="003F029A">
              <w:rPr>
                <w:rFonts w:hint="cs"/>
                <w:sz w:val="20"/>
                <w:rtl/>
                <w:lang w:bidi="fa-IR"/>
              </w:rPr>
              <w:t xml:space="preserve"> دو</w:t>
            </w:r>
            <w:r w:rsidR="00212865">
              <w:rPr>
                <w:sz w:val="20"/>
                <w:rtl/>
                <w:lang w:bidi="fa-IR"/>
              </w:rPr>
              <w:softHyphen/>
            </w:r>
            <w:r w:rsidR="00010C28">
              <w:rPr>
                <w:rFonts w:hint="cs"/>
                <w:sz w:val="20"/>
                <w:rtl/>
                <w:lang w:bidi="fa-IR"/>
              </w:rPr>
              <w:t>شنبه 1</w:t>
            </w:r>
            <w:r w:rsidR="00212865">
              <w:rPr>
                <w:rFonts w:hint="cs"/>
                <w:sz w:val="20"/>
                <w:rtl/>
                <w:lang w:bidi="fa-IR"/>
              </w:rPr>
              <w:t>8</w:t>
            </w:r>
            <w:r w:rsidR="00010C28">
              <w:rPr>
                <w:rFonts w:hint="cs"/>
                <w:sz w:val="20"/>
                <w:rtl/>
                <w:lang w:bidi="fa-IR"/>
              </w:rPr>
              <w:t>-</w:t>
            </w:r>
            <w:r w:rsidR="00212865">
              <w:rPr>
                <w:rFonts w:hint="cs"/>
                <w:sz w:val="20"/>
                <w:rtl/>
                <w:lang w:bidi="fa-IR"/>
              </w:rPr>
              <w:t>20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D60A58" w:rsidRPr="00FC58F8" w:rsidRDefault="00EA7DEC" w:rsidP="00AF440F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بهینه سازی خطی </w:t>
            </w:r>
            <w:r w:rsidR="00AF440F">
              <w:rPr>
                <w:rFonts w:hint="cs"/>
                <w:rtl/>
                <w:lang w:bidi="fa-IR"/>
              </w:rPr>
              <w:t>پیشرفته 1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متلب</w:t>
            </w:r>
          </w:p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ایمز</w:t>
            </w:r>
          </w:p>
          <w:p w:rsidR="00D60A58" w:rsidRPr="00D60A58" w:rsidRDefault="00212865" w:rsidP="00AF440F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گمز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246463" w:rsidRPr="00010C28" w:rsidRDefault="005F2355" w:rsidP="001A1883">
            <w:pPr>
              <w:bidi w:val="0"/>
              <w:ind w:left="432" w:firstLine="0"/>
              <w:jc w:val="left"/>
              <w:rPr>
                <w:rtl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Simchi-Levi, D., Chen, X., &amp; Bramel, J. (2005). The logic of logistics.</w:t>
            </w:r>
            <w:r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Theory, algorithms, and applications for logistics and supply chain management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  <w:bookmarkStart w:id="0" w:name="_GoBack"/>
            <w:bookmarkEnd w:id="0"/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کلاس </w:t>
            </w:r>
            <w:r w:rsidR="00212865">
              <w:rPr>
                <w:rFonts w:hint="cs"/>
                <w:rtl/>
                <w:lang w:bidi="fa-IR"/>
              </w:rPr>
              <w:t xml:space="preserve">مجازی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212865" w:rsidP="005E2E9D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%</w:t>
            </w:r>
            <w:r w:rsidR="005E2E9D">
              <w:rPr>
                <w:rFonts w:hint="cs"/>
                <w:rtl/>
                <w:lang w:bidi="fa-IR"/>
              </w:rPr>
              <w:t>35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212865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  <w:r w:rsidR="00D74467">
              <w:rPr>
                <w:lang w:bidi="fa-IR"/>
              </w:rPr>
              <w:t>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5E2E9D" w:rsidP="005E2E9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%</w:t>
            </w:r>
            <w:r>
              <w:rPr>
                <w:rFonts w:hint="cs"/>
                <w:rtl/>
                <w:lang w:bidi="fa-IR"/>
              </w:rPr>
              <w:t xml:space="preserve">40 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30" w:type="pct"/>
        <w:tblLook w:val="04A0"/>
      </w:tblPr>
      <w:tblGrid>
        <w:gridCol w:w="943"/>
        <w:gridCol w:w="2710"/>
        <w:gridCol w:w="2509"/>
        <w:gridCol w:w="2482"/>
        <w:gridCol w:w="2658"/>
      </w:tblGrid>
      <w:tr w:rsidR="007C4B7C" w:rsidTr="0029408A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29408A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C6E03" w:rsidTr="0029408A">
        <w:tc>
          <w:tcPr>
            <w:tcW w:w="417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199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110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098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29408A">
        <w:trPr>
          <w:trHeight w:val="1745"/>
        </w:trPr>
        <w:tc>
          <w:tcPr>
            <w:tcW w:w="417" w:type="pct"/>
            <w:vAlign w:val="center"/>
          </w:tcPr>
          <w:p w:rsidR="00C47146" w:rsidRPr="00910BB9" w:rsidRDefault="00C47146" w:rsidP="00AE4A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1</w:t>
            </w:r>
            <w:r w:rsidR="0029408A">
              <w:rPr>
                <w:rFonts w:hint="cs"/>
                <w:b/>
                <w:bCs/>
                <w:sz w:val="20"/>
                <w:rtl/>
                <w:lang w:bidi="fa-IR"/>
              </w:rPr>
              <w:t>-</w:t>
            </w:r>
            <w:r w:rsidR="00AE4ABB">
              <w:rPr>
                <w:rFonts w:hint="cs"/>
                <w:b/>
                <w:bCs/>
                <w:sz w:val="20"/>
                <w:rtl/>
                <w:lang w:bidi="fa-IR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C47146" w:rsidRPr="00910BB9" w:rsidRDefault="005E2E9D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بهینه سازی محدب</w:t>
            </w:r>
          </w:p>
        </w:tc>
        <w:tc>
          <w:tcPr>
            <w:tcW w:w="1110" w:type="pct"/>
            <w:vAlign w:val="center"/>
          </w:tcPr>
          <w:p w:rsidR="00C47146" w:rsidRPr="00582CCD" w:rsidRDefault="00314884" w:rsidP="00444A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مجازی</w:t>
            </w:r>
          </w:p>
        </w:tc>
        <w:tc>
          <w:tcPr>
            <w:tcW w:w="1098" w:type="pct"/>
            <w:vAlign w:val="center"/>
          </w:tcPr>
          <w:p w:rsidR="00C47146" w:rsidRPr="00582CCD" w:rsidRDefault="00314884" w:rsidP="00314884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ارائه به همراه مرور کتاب و مقاله توسط دانشجو</w:t>
            </w:r>
          </w:p>
        </w:tc>
        <w:tc>
          <w:tcPr>
            <w:tcW w:w="1176" w:type="pct"/>
          </w:tcPr>
          <w:p w:rsidR="00C47146" w:rsidRPr="00582CCD" w:rsidRDefault="0029408A" w:rsidP="0031488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>
              <w:rPr>
                <w:rFonts w:hint="cs"/>
                <w:sz w:val="20"/>
                <w:rtl/>
                <w:lang w:bidi="fa-IR"/>
              </w:rPr>
              <w:t>(جلسه</w:t>
            </w:r>
            <w:r w:rsidR="00314884">
              <w:rPr>
                <w:rFonts w:hint="cs"/>
                <w:sz w:val="20"/>
                <w:rtl/>
                <w:lang w:bidi="fa-IR"/>
              </w:rPr>
              <w:t>2</w:t>
            </w:r>
            <w:r>
              <w:rPr>
                <w:rFonts w:hint="cs"/>
                <w:sz w:val="20"/>
                <w:rtl/>
                <w:lang w:bidi="fa-IR"/>
              </w:rPr>
              <w:t>)</w:t>
            </w:r>
          </w:p>
        </w:tc>
      </w:tr>
      <w:tr w:rsidR="00314884" w:rsidTr="003F2E5E">
        <w:tc>
          <w:tcPr>
            <w:tcW w:w="417" w:type="pct"/>
            <w:vAlign w:val="center"/>
          </w:tcPr>
          <w:p w:rsidR="00314884" w:rsidRDefault="00314884" w:rsidP="00AE4A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3-4</w:t>
            </w:r>
          </w:p>
        </w:tc>
        <w:tc>
          <w:tcPr>
            <w:tcW w:w="1199" w:type="pct"/>
            <w:vAlign w:val="center"/>
          </w:tcPr>
          <w:p w:rsidR="00314884" w:rsidRPr="00C567DA" w:rsidRDefault="00314884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آنالیز حالات و برنامه ریزی ریاضی کراندار</w:t>
            </w:r>
          </w:p>
          <w:p w:rsidR="00314884" w:rsidRPr="00C567DA" w:rsidRDefault="00314884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110" w:type="pct"/>
          </w:tcPr>
          <w:p w:rsidR="00314884" w:rsidRDefault="00314884" w:rsidP="00314884">
            <w:pPr>
              <w:jc w:val="center"/>
            </w:pPr>
            <w:r w:rsidRPr="00175190">
              <w:rPr>
                <w:rFonts w:hint="cs"/>
                <w:sz w:val="20"/>
                <w:rtl/>
                <w:lang w:bidi="fa-IR"/>
              </w:rPr>
              <w:t>مجازی</w:t>
            </w:r>
          </w:p>
        </w:tc>
        <w:tc>
          <w:tcPr>
            <w:tcW w:w="1098" w:type="pct"/>
          </w:tcPr>
          <w:p w:rsidR="00314884" w:rsidRDefault="00314884">
            <w:r w:rsidRPr="00230EFE">
              <w:rPr>
                <w:rFonts w:hint="cs"/>
                <w:sz w:val="20"/>
                <w:rtl/>
                <w:lang w:bidi="fa-IR"/>
              </w:rPr>
              <w:t>ارائه به همراه مرور کتاب و مقاله توسط دانشجو</w:t>
            </w:r>
          </w:p>
        </w:tc>
        <w:tc>
          <w:tcPr>
            <w:tcW w:w="1176" w:type="pct"/>
          </w:tcPr>
          <w:p w:rsidR="00314884" w:rsidRPr="00582CCD" w:rsidRDefault="00314884" w:rsidP="0031488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4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  <w:tr w:rsidR="00314884" w:rsidTr="003F2E5E">
        <w:tc>
          <w:tcPr>
            <w:tcW w:w="417" w:type="pct"/>
            <w:vAlign w:val="center"/>
          </w:tcPr>
          <w:p w:rsidR="00314884" w:rsidRDefault="00314884" w:rsidP="003148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5-8</w:t>
            </w:r>
          </w:p>
        </w:tc>
        <w:tc>
          <w:tcPr>
            <w:tcW w:w="1199" w:type="pct"/>
            <w:vAlign w:val="center"/>
          </w:tcPr>
          <w:p w:rsidR="00314884" w:rsidRPr="00C567DA" w:rsidRDefault="00314884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انواع مدل های مکانیابی و کاربردهای آن</w:t>
            </w:r>
            <w:r>
              <w:rPr>
                <w:b/>
                <w:bCs/>
                <w:sz w:val="20"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sz w:val="20"/>
                <w:rtl/>
                <w:lang w:bidi="fa-IR"/>
              </w:rPr>
              <w:t>ها</w:t>
            </w:r>
          </w:p>
        </w:tc>
        <w:tc>
          <w:tcPr>
            <w:tcW w:w="1110" w:type="pct"/>
          </w:tcPr>
          <w:p w:rsidR="00314884" w:rsidRDefault="00314884" w:rsidP="00314884">
            <w:pPr>
              <w:jc w:val="center"/>
            </w:pPr>
            <w:r w:rsidRPr="00175190">
              <w:rPr>
                <w:rFonts w:hint="cs"/>
                <w:sz w:val="20"/>
                <w:rtl/>
                <w:lang w:bidi="fa-IR"/>
              </w:rPr>
              <w:t>مجازی</w:t>
            </w:r>
          </w:p>
        </w:tc>
        <w:tc>
          <w:tcPr>
            <w:tcW w:w="1098" w:type="pct"/>
          </w:tcPr>
          <w:p w:rsidR="00314884" w:rsidRDefault="00314884">
            <w:r w:rsidRPr="00230EFE">
              <w:rPr>
                <w:rFonts w:hint="cs"/>
                <w:sz w:val="20"/>
                <w:rtl/>
                <w:lang w:bidi="fa-IR"/>
              </w:rPr>
              <w:t>ارائه به همراه مرور کتاب و مقاله توسط دانشجو</w:t>
            </w:r>
          </w:p>
        </w:tc>
        <w:tc>
          <w:tcPr>
            <w:tcW w:w="1176" w:type="pct"/>
          </w:tcPr>
          <w:p w:rsidR="00314884" w:rsidRPr="00582CCD" w:rsidRDefault="00314884" w:rsidP="0031488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8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  <w:tr w:rsidR="00314884" w:rsidTr="003F2E5E">
        <w:tc>
          <w:tcPr>
            <w:tcW w:w="417" w:type="pct"/>
            <w:vAlign w:val="center"/>
          </w:tcPr>
          <w:p w:rsidR="00314884" w:rsidRDefault="00314884" w:rsidP="003148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9-13</w:t>
            </w:r>
          </w:p>
        </w:tc>
        <w:tc>
          <w:tcPr>
            <w:tcW w:w="1199" w:type="pct"/>
            <w:vAlign w:val="center"/>
          </w:tcPr>
          <w:p w:rsidR="00314884" w:rsidRPr="00582CCD" w:rsidRDefault="00314884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انواع مدل های مسیریابی و کاربردهای آن</w:t>
            </w:r>
            <w:r>
              <w:rPr>
                <w:b/>
                <w:bCs/>
                <w:sz w:val="20"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sz w:val="20"/>
                <w:rtl/>
                <w:lang w:bidi="fa-IR"/>
              </w:rPr>
              <w:t>ها</w:t>
            </w:r>
          </w:p>
        </w:tc>
        <w:tc>
          <w:tcPr>
            <w:tcW w:w="1110" w:type="pct"/>
          </w:tcPr>
          <w:p w:rsidR="00314884" w:rsidRDefault="00314884" w:rsidP="00314884">
            <w:pPr>
              <w:jc w:val="center"/>
            </w:pPr>
            <w:r w:rsidRPr="00175190">
              <w:rPr>
                <w:rFonts w:hint="cs"/>
                <w:sz w:val="20"/>
                <w:rtl/>
                <w:lang w:bidi="fa-IR"/>
              </w:rPr>
              <w:t>مجازی</w:t>
            </w:r>
          </w:p>
        </w:tc>
        <w:tc>
          <w:tcPr>
            <w:tcW w:w="1098" w:type="pct"/>
          </w:tcPr>
          <w:p w:rsidR="00314884" w:rsidRDefault="00314884">
            <w:r w:rsidRPr="00230EFE">
              <w:rPr>
                <w:rFonts w:hint="cs"/>
                <w:sz w:val="20"/>
                <w:rtl/>
                <w:lang w:bidi="fa-IR"/>
              </w:rPr>
              <w:t>ارائه به همراه مرور کتاب و مقاله توسط دانشجو</w:t>
            </w:r>
          </w:p>
        </w:tc>
        <w:tc>
          <w:tcPr>
            <w:tcW w:w="1176" w:type="pct"/>
          </w:tcPr>
          <w:p w:rsidR="00314884" w:rsidRPr="00582CCD" w:rsidRDefault="00314884" w:rsidP="0031488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13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  <w:tr w:rsidR="00314884" w:rsidTr="003F2E5E">
        <w:tc>
          <w:tcPr>
            <w:tcW w:w="417" w:type="pct"/>
            <w:vAlign w:val="center"/>
          </w:tcPr>
          <w:p w:rsidR="00314884" w:rsidRDefault="00314884" w:rsidP="003148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14-17</w:t>
            </w:r>
          </w:p>
        </w:tc>
        <w:tc>
          <w:tcPr>
            <w:tcW w:w="1199" w:type="pct"/>
            <w:vAlign w:val="center"/>
          </w:tcPr>
          <w:p w:rsidR="00314884" w:rsidRPr="00582CCD" w:rsidRDefault="00314884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انواع مدل های زنجیره تامین (رفت- برگشت- بسته و هوشمند)</w:t>
            </w:r>
          </w:p>
        </w:tc>
        <w:tc>
          <w:tcPr>
            <w:tcW w:w="1110" w:type="pct"/>
          </w:tcPr>
          <w:p w:rsidR="00314884" w:rsidRDefault="00314884" w:rsidP="00314884">
            <w:pPr>
              <w:jc w:val="center"/>
            </w:pPr>
            <w:r w:rsidRPr="00175190">
              <w:rPr>
                <w:rFonts w:hint="cs"/>
                <w:sz w:val="20"/>
                <w:rtl/>
                <w:lang w:bidi="fa-IR"/>
              </w:rPr>
              <w:t>مجازی</w:t>
            </w:r>
          </w:p>
        </w:tc>
        <w:tc>
          <w:tcPr>
            <w:tcW w:w="1098" w:type="pct"/>
          </w:tcPr>
          <w:p w:rsidR="00314884" w:rsidRDefault="00314884">
            <w:r w:rsidRPr="00230EFE">
              <w:rPr>
                <w:rFonts w:hint="cs"/>
                <w:sz w:val="20"/>
                <w:rtl/>
                <w:lang w:bidi="fa-IR"/>
              </w:rPr>
              <w:t>ارائه به همراه مرور کتاب و مقاله توسط دانشجو</w:t>
            </w:r>
          </w:p>
        </w:tc>
        <w:tc>
          <w:tcPr>
            <w:tcW w:w="1176" w:type="pct"/>
          </w:tcPr>
          <w:p w:rsidR="00314884" w:rsidRPr="00582CCD" w:rsidRDefault="00314884" w:rsidP="0031488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17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  <w:tr w:rsidR="00314884" w:rsidTr="003F2E5E">
        <w:tc>
          <w:tcPr>
            <w:tcW w:w="417" w:type="pct"/>
            <w:vAlign w:val="center"/>
          </w:tcPr>
          <w:p w:rsidR="00314884" w:rsidRDefault="00314884" w:rsidP="00314884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18-20</w:t>
            </w:r>
          </w:p>
        </w:tc>
        <w:tc>
          <w:tcPr>
            <w:tcW w:w="1199" w:type="pct"/>
            <w:vAlign w:val="center"/>
          </w:tcPr>
          <w:p w:rsidR="00314884" w:rsidRDefault="00314884" w:rsidP="0031488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hint="cs"/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انواع مدل های انبارداری-قیمت گذاری در زنجیره تامین</w:t>
            </w:r>
          </w:p>
        </w:tc>
        <w:tc>
          <w:tcPr>
            <w:tcW w:w="1110" w:type="pct"/>
          </w:tcPr>
          <w:p w:rsidR="00314884" w:rsidRDefault="00314884" w:rsidP="00314884">
            <w:pPr>
              <w:jc w:val="center"/>
            </w:pPr>
            <w:r w:rsidRPr="00175190">
              <w:rPr>
                <w:rFonts w:hint="cs"/>
                <w:sz w:val="20"/>
                <w:rtl/>
                <w:lang w:bidi="fa-IR"/>
              </w:rPr>
              <w:t>مجازی</w:t>
            </w:r>
          </w:p>
        </w:tc>
        <w:tc>
          <w:tcPr>
            <w:tcW w:w="1098" w:type="pct"/>
          </w:tcPr>
          <w:p w:rsidR="00314884" w:rsidRDefault="00314884">
            <w:r w:rsidRPr="00230EFE">
              <w:rPr>
                <w:rFonts w:hint="cs"/>
                <w:sz w:val="20"/>
                <w:rtl/>
                <w:lang w:bidi="fa-IR"/>
              </w:rPr>
              <w:t>ارائه به همراه مرور کتاب و مقاله توسط دانشجو</w:t>
            </w:r>
          </w:p>
        </w:tc>
        <w:tc>
          <w:tcPr>
            <w:tcW w:w="1176" w:type="pct"/>
          </w:tcPr>
          <w:p w:rsidR="00314884" w:rsidRPr="00582CCD" w:rsidRDefault="00314884" w:rsidP="0031488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20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  <w:tr w:rsidR="00314884" w:rsidTr="003F2E5E">
        <w:tc>
          <w:tcPr>
            <w:tcW w:w="417" w:type="pct"/>
            <w:vAlign w:val="center"/>
          </w:tcPr>
          <w:p w:rsidR="00314884" w:rsidRDefault="00314884" w:rsidP="00314884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21-23</w:t>
            </w:r>
          </w:p>
        </w:tc>
        <w:tc>
          <w:tcPr>
            <w:tcW w:w="1199" w:type="pct"/>
            <w:vAlign w:val="center"/>
          </w:tcPr>
          <w:p w:rsidR="00314884" w:rsidRDefault="00314884" w:rsidP="0031488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hint="cs"/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روش های حل دقیق برای </w:t>
            </w:r>
            <w:r>
              <w:rPr>
                <w:rFonts w:hint="cs"/>
                <w:b/>
                <w:bCs/>
                <w:sz w:val="20"/>
                <w:rtl/>
                <w:lang w:bidi="fa-IR"/>
              </w:rPr>
              <w:lastRenderedPageBreak/>
              <w:t>مسائل زنجیره تامین</w:t>
            </w:r>
          </w:p>
        </w:tc>
        <w:tc>
          <w:tcPr>
            <w:tcW w:w="1110" w:type="pct"/>
          </w:tcPr>
          <w:p w:rsidR="00314884" w:rsidRDefault="00314884" w:rsidP="00314884">
            <w:pPr>
              <w:jc w:val="center"/>
            </w:pPr>
            <w:r w:rsidRPr="00175190">
              <w:rPr>
                <w:rFonts w:hint="cs"/>
                <w:sz w:val="20"/>
                <w:rtl/>
                <w:lang w:bidi="fa-IR"/>
              </w:rPr>
              <w:lastRenderedPageBreak/>
              <w:t>مجازی</w:t>
            </w:r>
          </w:p>
        </w:tc>
        <w:tc>
          <w:tcPr>
            <w:tcW w:w="1098" w:type="pct"/>
          </w:tcPr>
          <w:p w:rsidR="00314884" w:rsidRDefault="00314884">
            <w:r w:rsidRPr="00230EFE">
              <w:rPr>
                <w:rFonts w:hint="cs"/>
                <w:sz w:val="20"/>
                <w:rtl/>
                <w:lang w:bidi="fa-IR"/>
              </w:rPr>
              <w:t xml:space="preserve">ارائه به همراه مرور کتاب و </w:t>
            </w:r>
            <w:r w:rsidRPr="00230EFE">
              <w:rPr>
                <w:rFonts w:hint="cs"/>
                <w:sz w:val="20"/>
                <w:rtl/>
                <w:lang w:bidi="fa-IR"/>
              </w:rPr>
              <w:lastRenderedPageBreak/>
              <w:t>مقاله توسط دانشجو</w:t>
            </w:r>
          </w:p>
        </w:tc>
        <w:tc>
          <w:tcPr>
            <w:tcW w:w="1176" w:type="pct"/>
          </w:tcPr>
          <w:p w:rsidR="00314884" w:rsidRPr="00582CCD" w:rsidRDefault="00314884" w:rsidP="0031488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lastRenderedPageBreak/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>23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  <w:tr w:rsidR="00314884" w:rsidTr="003F2E5E">
        <w:tc>
          <w:tcPr>
            <w:tcW w:w="417" w:type="pct"/>
            <w:vAlign w:val="center"/>
          </w:tcPr>
          <w:p w:rsidR="00314884" w:rsidRDefault="00314884" w:rsidP="00314884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24-30</w:t>
            </w:r>
          </w:p>
        </w:tc>
        <w:tc>
          <w:tcPr>
            <w:tcW w:w="1199" w:type="pct"/>
            <w:vAlign w:val="center"/>
          </w:tcPr>
          <w:p w:rsidR="00314884" w:rsidRDefault="00314884" w:rsidP="00314884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hint="cs"/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روش های حل ابتکاری و فراابتکاری برای مسائل زنجیره تامین</w:t>
            </w:r>
          </w:p>
        </w:tc>
        <w:tc>
          <w:tcPr>
            <w:tcW w:w="1110" w:type="pct"/>
          </w:tcPr>
          <w:p w:rsidR="00314884" w:rsidRDefault="00314884" w:rsidP="00314884">
            <w:pPr>
              <w:jc w:val="center"/>
            </w:pPr>
            <w:r w:rsidRPr="00175190">
              <w:rPr>
                <w:rFonts w:hint="cs"/>
                <w:sz w:val="20"/>
                <w:rtl/>
                <w:lang w:bidi="fa-IR"/>
              </w:rPr>
              <w:t>مجازی</w:t>
            </w:r>
          </w:p>
        </w:tc>
        <w:tc>
          <w:tcPr>
            <w:tcW w:w="1098" w:type="pct"/>
          </w:tcPr>
          <w:p w:rsidR="00314884" w:rsidRDefault="00314884">
            <w:r w:rsidRPr="00230EFE">
              <w:rPr>
                <w:rFonts w:hint="cs"/>
                <w:sz w:val="20"/>
                <w:rtl/>
                <w:lang w:bidi="fa-IR"/>
              </w:rPr>
              <w:t>ارائه به همراه مرور کتاب و مقاله توسط دانشجو</w:t>
            </w:r>
          </w:p>
        </w:tc>
        <w:tc>
          <w:tcPr>
            <w:tcW w:w="1176" w:type="pct"/>
          </w:tcPr>
          <w:p w:rsidR="00314884" w:rsidRPr="00582CCD" w:rsidRDefault="00314884" w:rsidP="0031488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29408A">
              <w:rPr>
                <w:rFonts w:hint="cs"/>
                <w:sz w:val="20"/>
                <w:rtl/>
                <w:lang w:bidi="fa-IR"/>
              </w:rPr>
              <w:t>تحویل تکلیف</w:t>
            </w:r>
            <w:r w:rsidRPr="0029408A">
              <w:rPr>
                <w:sz w:val="20"/>
                <w:rtl/>
                <w:lang w:bidi="fa-IR"/>
              </w:rPr>
              <w:t>(جلسه</w:t>
            </w:r>
            <w:r>
              <w:rPr>
                <w:rFonts w:hint="cs"/>
                <w:sz w:val="20"/>
                <w:rtl/>
                <w:lang w:bidi="fa-IR"/>
              </w:rPr>
              <w:t xml:space="preserve"> پایانی</w:t>
            </w:r>
            <w:r w:rsidRPr="0029408A">
              <w:rPr>
                <w:sz w:val="20"/>
                <w:rtl/>
                <w:lang w:bidi="fa-IR"/>
              </w:rPr>
              <w:t>)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9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5D4" w:rsidRDefault="00AD15D4" w:rsidP="00061A9B">
      <w:pPr>
        <w:spacing w:after="0"/>
      </w:pPr>
      <w:r>
        <w:separator/>
      </w:r>
    </w:p>
  </w:endnote>
  <w:endnote w:type="continuationSeparator" w:id="1">
    <w:p w:rsidR="00AD15D4" w:rsidRDefault="00AD15D4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4A22BE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4A22BE">
      <w:rPr>
        <w:lang w:bidi="fa-IR"/>
      </w:rPr>
      <w:fldChar w:fldCharType="separate"/>
    </w:r>
    <w:r w:rsidR="000E65FF">
      <w:rPr>
        <w:noProof/>
        <w:rtl/>
        <w:lang w:bidi="fa-IR"/>
      </w:rPr>
      <w:t>3</w:t>
    </w:r>
    <w:r w:rsidR="004A22BE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5D4" w:rsidRDefault="00AD15D4" w:rsidP="00061A9B">
      <w:pPr>
        <w:spacing w:after="0"/>
      </w:pPr>
      <w:r>
        <w:separator/>
      </w:r>
    </w:p>
  </w:footnote>
  <w:footnote w:type="continuationSeparator" w:id="1">
    <w:p w:rsidR="00AD15D4" w:rsidRDefault="00AD15D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0C28"/>
    <w:rsid w:val="0001449B"/>
    <w:rsid w:val="00047C80"/>
    <w:rsid w:val="00055FF1"/>
    <w:rsid w:val="00061A9B"/>
    <w:rsid w:val="000B6B37"/>
    <w:rsid w:val="000E65FF"/>
    <w:rsid w:val="000F3FDC"/>
    <w:rsid w:val="00130AB3"/>
    <w:rsid w:val="0013501B"/>
    <w:rsid w:val="00165901"/>
    <w:rsid w:val="0018085B"/>
    <w:rsid w:val="001820FC"/>
    <w:rsid w:val="00192BA1"/>
    <w:rsid w:val="00192BB6"/>
    <w:rsid w:val="00197896"/>
    <w:rsid w:val="001A1883"/>
    <w:rsid w:val="001A4CEF"/>
    <w:rsid w:val="001B1F97"/>
    <w:rsid w:val="001B2A3A"/>
    <w:rsid w:val="001E2DA0"/>
    <w:rsid w:val="001F48E0"/>
    <w:rsid w:val="00211920"/>
    <w:rsid w:val="00212865"/>
    <w:rsid w:val="00246463"/>
    <w:rsid w:val="00261C5C"/>
    <w:rsid w:val="00262DF5"/>
    <w:rsid w:val="00270A93"/>
    <w:rsid w:val="0029408A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14884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3F029A"/>
    <w:rsid w:val="00401CE6"/>
    <w:rsid w:val="00444A73"/>
    <w:rsid w:val="00463FCC"/>
    <w:rsid w:val="00466747"/>
    <w:rsid w:val="00487C6C"/>
    <w:rsid w:val="004A22BE"/>
    <w:rsid w:val="004A4A5B"/>
    <w:rsid w:val="004C3842"/>
    <w:rsid w:val="004C4AD5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A7B23"/>
    <w:rsid w:val="005B2735"/>
    <w:rsid w:val="005B6CE2"/>
    <w:rsid w:val="005C0385"/>
    <w:rsid w:val="005D0BB3"/>
    <w:rsid w:val="005D7AAE"/>
    <w:rsid w:val="005E2E9D"/>
    <w:rsid w:val="005F2355"/>
    <w:rsid w:val="005F7A96"/>
    <w:rsid w:val="00605B7A"/>
    <w:rsid w:val="00611622"/>
    <w:rsid w:val="006B6127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7E7148"/>
    <w:rsid w:val="007F5554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8F5B32"/>
    <w:rsid w:val="00910BB9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363CE"/>
    <w:rsid w:val="00A479B9"/>
    <w:rsid w:val="00A51E3F"/>
    <w:rsid w:val="00A52353"/>
    <w:rsid w:val="00A94048"/>
    <w:rsid w:val="00AB3C79"/>
    <w:rsid w:val="00AC5599"/>
    <w:rsid w:val="00AD15D4"/>
    <w:rsid w:val="00AD40DF"/>
    <w:rsid w:val="00AE4ABB"/>
    <w:rsid w:val="00AF440F"/>
    <w:rsid w:val="00AF4840"/>
    <w:rsid w:val="00B01882"/>
    <w:rsid w:val="00B44F8C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567DA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74467"/>
    <w:rsid w:val="00D9428D"/>
    <w:rsid w:val="00DB0346"/>
    <w:rsid w:val="00DB0DFA"/>
    <w:rsid w:val="00DF0011"/>
    <w:rsid w:val="00E504B7"/>
    <w:rsid w:val="00E85668"/>
    <w:rsid w:val="00EA7DEC"/>
    <w:rsid w:val="00EB76A2"/>
    <w:rsid w:val="00ED4CB6"/>
    <w:rsid w:val="00EE56A0"/>
    <w:rsid w:val="00EF4E50"/>
    <w:rsid w:val="00EF67CA"/>
    <w:rsid w:val="00F06A90"/>
    <w:rsid w:val="00F6060B"/>
    <w:rsid w:val="00F6504B"/>
    <w:rsid w:val="00F75050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F2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DFD6-DCF5-4782-B27F-D63D2881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parham jigar</cp:lastModifiedBy>
  <cp:revision>4</cp:revision>
  <cp:lastPrinted>2018-07-09T15:10:00Z</cp:lastPrinted>
  <dcterms:created xsi:type="dcterms:W3CDTF">2021-02-01T09:55:00Z</dcterms:created>
  <dcterms:modified xsi:type="dcterms:W3CDTF">2021-02-01T10:14:00Z</dcterms:modified>
</cp:coreProperties>
</file>