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97308" w:rsidP="004D2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معدنی</w:t>
            </w:r>
          </w:p>
        </w:tc>
        <w:tc>
          <w:tcPr>
            <w:tcW w:w="507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97308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سجاد محبی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B055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AB0556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B0556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4D2BB2" w:rsidP="0039730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شیمی </w:t>
            </w:r>
            <w:r w:rsidR="00397308">
              <w:rPr>
                <w:rFonts w:asciiTheme="majorBidi" w:hAnsiTheme="majorBidi" w:hint="cs"/>
                <w:sz w:val="26"/>
                <w:szCs w:val="26"/>
                <w:rtl/>
              </w:rPr>
              <w:t>معدنی پیشرفته</w:t>
            </w:r>
          </w:p>
          <w:p w:rsidR="00C16AA2" w:rsidRDefault="00397308" w:rsidP="0082234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تقارن و تئوری گروه در شیمی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397308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822340">
              <w:rPr>
                <w:lang w:bidi="fa-IR"/>
              </w:rPr>
              <w:t>Power Point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822340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D2BB2" w:rsidRDefault="003354EE" w:rsidP="0039730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22340">
              <w:rPr>
                <w:rFonts w:hint="cs"/>
                <w:rtl/>
                <w:lang w:bidi="fa-IR"/>
              </w:rPr>
              <w:t xml:space="preserve">-  </w:t>
            </w:r>
            <w:r w:rsidR="00397308">
              <w:rPr>
                <w:lang w:bidi="fa-IR"/>
              </w:rPr>
              <w:t>Physical Methods for Chemists</w:t>
            </w:r>
            <w:r w:rsidR="00397308">
              <w:rPr>
                <w:rFonts w:hint="cs"/>
                <w:rtl/>
                <w:lang w:bidi="fa-IR"/>
              </w:rPr>
              <w:t xml:space="preserve">   تالیف </w:t>
            </w:r>
            <w:r w:rsidR="00397308">
              <w:rPr>
                <w:lang w:bidi="fa-IR"/>
              </w:rPr>
              <w:t xml:space="preserve">Russell S. </w:t>
            </w:r>
            <w:proofErr w:type="spellStart"/>
            <w:r w:rsidR="00397308">
              <w:rPr>
                <w:lang w:bidi="fa-IR"/>
              </w:rPr>
              <w:t>Drago</w:t>
            </w:r>
            <w:proofErr w:type="spellEnd"/>
            <w:r w:rsidR="004D2BB2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D2BB2">
        <w:trPr>
          <w:trHeight w:val="3874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97308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مبانی طیف سنجی و عوامل موثر برروی داداه های طیف سنجی و شکل پیکها و کاربردهای روشهای مختلف طیف سنجی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درک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D2BB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97308">
              <w:rPr>
                <w:rFonts w:ascii="TimesNewRoman,Bold" w:hAnsi="TimesNewRoman,Bold" w:hint="cs"/>
                <w:rtl/>
                <w:lang w:bidi="fa-IR"/>
              </w:rPr>
              <w:t>طیف جذب الکترونی مواد را پیش بینی و تفسیر نمایید.</w:t>
            </w:r>
          </w:p>
          <w:p w:rsidR="00A51E3F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طیف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IR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مواد را پیش بینی و تفسیر نمایید.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بتوانید ساختار و قدرت پیوندهای شیمیایی را مقایسه و مطلعه کنید.</w:t>
            </w:r>
          </w:p>
          <w:p w:rsidR="00397308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طیف  </w:t>
            </w:r>
            <w:r>
              <w:rPr>
                <w:rFonts w:ascii="TimesNewRoman,Bold" w:hAnsi="TimesNewRoman,Bold"/>
                <w:lang w:bidi="fa-IR"/>
              </w:rPr>
              <w:t>NM</w:t>
            </w:r>
            <w:r>
              <w:rPr>
                <w:rFonts w:ascii="TimesNewRoman,Bold" w:hAnsi="TimesNewRoman,Bold"/>
                <w:lang w:bidi="fa-IR"/>
              </w:rPr>
              <w:t>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مواد را پیش بینی و تفسیر نمایید.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بتوانید ساختار مواد را بررسی کنید.</w:t>
            </w:r>
          </w:p>
          <w:p w:rsidR="00397308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طیف  </w:t>
            </w:r>
            <w:r>
              <w:rPr>
                <w:rFonts w:ascii="TimesNewRoman,Bold" w:hAnsi="TimesNewRoman,Bold"/>
                <w:lang w:bidi="fa-IR"/>
              </w:rPr>
              <w:t>EPR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مواد را پیش بینی و تفسیر نمایید.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بتوانید چگونگی استقرار الکترونهای منفرد در مواد آلی و معدنی بررسی نمایید. </w:t>
            </w:r>
          </w:p>
          <w:p w:rsidR="00A51E3F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طیف  </w:t>
            </w:r>
            <w:r>
              <w:rPr>
                <w:rFonts w:ascii="TimesNewRoman,Bold" w:hAnsi="TimesNewRoman,Bold" w:hint="cs"/>
                <w:rtl/>
                <w:lang w:bidi="fa-IR"/>
              </w:rPr>
              <w:t>موزباور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مواد را پیش بینی و تفسیر نمایید.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واپیچشها و انحراف  های ساختاری را بررسی کنید.</w:t>
            </w:r>
          </w:p>
          <w:p w:rsidR="00397308" w:rsidRPr="00397308" w:rsidRDefault="00397308" w:rsidP="0039730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مواد مجهول را شناسایی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D2BB2" w:rsidP="0082234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م تحلیل مواد شیمیایی معدنی</w:t>
            </w:r>
          </w:p>
          <w:p w:rsidR="00A51E3F" w:rsidRPr="001F48E0" w:rsidRDefault="00A51E3F" w:rsidP="0039730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822340">
              <w:rPr>
                <w:rFonts w:hint="cs"/>
                <w:rtl/>
                <w:lang w:bidi="fa-IR"/>
              </w:rPr>
              <w:t xml:space="preserve"> </w:t>
            </w:r>
            <w:r w:rsidR="00397308">
              <w:rPr>
                <w:rFonts w:hint="cs"/>
                <w:rtl/>
                <w:lang w:bidi="fa-IR"/>
              </w:rPr>
              <w:t>-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7308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7308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D7A1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>ندارد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3F25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3F254E">
              <w:rPr>
                <w:rFonts w:hint="cs"/>
                <w:rtl/>
                <w:lang w:bidi="fa-IR"/>
              </w:rPr>
              <w:t xml:space="preserve">اول </w:t>
            </w:r>
            <w:r w:rsidR="003D7A1B">
              <w:rPr>
                <w:rFonts w:hint="cs"/>
                <w:rtl/>
                <w:lang w:bidi="fa-IR"/>
              </w:rPr>
              <w:t>اردیبهشت 98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فصل‌های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1 الی </w:t>
            </w:r>
            <w:r w:rsidR="003F254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90" w:type="pct"/>
          </w:tcPr>
          <w:p w:rsidR="00CB71E5" w:rsidRDefault="00397308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3D7A1B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7A1B">
              <w:rPr>
                <w:rFonts w:hint="cs"/>
                <w:rtl/>
                <w:lang w:bidi="fa-IR"/>
              </w:rPr>
              <w:t xml:space="preserve"> بدون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3D7A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  <w:r w:rsidR="003D7A1B">
              <w:rPr>
                <w:rFonts w:hint="cs"/>
                <w:rtl/>
                <w:lang w:bidi="fa-IR"/>
              </w:rPr>
              <w:t xml:space="preserve"> مثبت</w:t>
            </w:r>
          </w:p>
          <w:p w:rsidR="0087319C" w:rsidRDefault="0087319C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7A1B">
              <w:rPr>
                <w:rFonts w:hint="cs"/>
                <w:rtl/>
                <w:lang w:bidi="fa-IR"/>
              </w:rPr>
              <w:t>یک ن</w:t>
            </w:r>
            <w:r w:rsidR="007B39D6">
              <w:rPr>
                <w:rFonts w:hint="cs"/>
                <w:rtl/>
                <w:lang w:bidi="fa-IR"/>
              </w:rPr>
              <w:t>مره شامل مواردی نظیر:</w:t>
            </w:r>
          </w:p>
          <w:p w:rsidR="004D5045" w:rsidRDefault="00EF67CA" w:rsidP="003D7A1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D7A1B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04167E">
                <w:rPr>
                  <w:rStyle w:val="Hyperlink"/>
                  <w:b/>
                  <w:bCs/>
                </w:rPr>
                <w:t>smohebbi@uok.ac.ir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72C9D" w:rsidP="003D7A1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3D7A1B">
              <w:rPr>
                <w:b/>
                <w:bCs/>
              </w:rPr>
              <w:t xml:space="preserve"> , </w:t>
            </w:r>
            <w:proofErr w:type="spellStart"/>
            <w:r w:rsidR="003D7A1B">
              <w:rPr>
                <w:b/>
                <w:bCs/>
              </w:rPr>
              <w:t>google</w:t>
            </w:r>
            <w:proofErr w:type="spellEnd"/>
            <w:r w:rsidR="003D7A1B">
              <w:rPr>
                <w:b/>
                <w:bCs/>
              </w:rPr>
              <w:t xml:space="preserve"> drive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D7A1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حداکثر غیبت موجه 4  جلسه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7A1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44141" w:rsidRDefault="003D7A1B" w:rsidP="003D7A1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تمرینهای انتخابی پس از پایان تدریس هر فصل.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موعد تحویل تکلیف‌ها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حد اکثر یک هفته پس از پایان تدریس هر فصل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منفی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397308" w:rsidRDefault="00397308" w:rsidP="00B53F72">
      <w:pPr>
        <w:ind w:firstLine="0"/>
        <w:rPr>
          <w:rtl/>
          <w:lang w:bidi="fa-IR"/>
        </w:rPr>
      </w:pPr>
    </w:p>
    <w:p w:rsidR="00397308" w:rsidRDefault="00397308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397308">
        <w:trPr>
          <w:trHeight w:val="55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2A348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BA374A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  <w:p w:rsidR="001F7299" w:rsidRPr="00BA374A" w:rsidRDefault="001F7299" w:rsidP="002A348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7F2E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2A3485" w:rsidRDefault="00C47146" w:rsidP="002A3485">
            <w:pPr>
              <w:ind w:firstLine="0"/>
              <w:jc w:val="center"/>
              <w:rPr>
                <w:sz w:val="24"/>
                <w:rtl/>
                <w:lang w:bidi="fa-IR"/>
              </w:rPr>
            </w:pPr>
            <w:r w:rsidRPr="002A3485">
              <w:rPr>
                <w:rFonts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62D1F" w:rsidTr="007F2ED7">
        <w:trPr>
          <w:trHeight w:val="1745"/>
        </w:trPr>
        <w:tc>
          <w:tcPr>
            <w:tcW w:w="344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62D1F" w:rsidRDefault="00962D1F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97308">
              <w:rPr>
                <w:rFonts w:hint="cs"/>
                <w:rtl/>
                <w:lang w:bidi="fa-IR"/>
              </w:rPr>
              <w:t>مقدمه ای بر اسپکتروسکپی</w:t>
            </w:r>
          </w:p>
          <w:p w:rsidR="00962D1F" w:rsidRPr="00DB0346" w:rsidRDefault="00962D1F" w:rsidP="002A34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2D1F" w:rsidRDefault="00962D1F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397308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962D1F" w:rsidRDefault="00962D1F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962D1F" w:rsidRDefault="00962D1F" w:rsidP="002A348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62D1F" w:rsidRDefault="00397308" w:rsidP="002A34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 ای بر اسپکتروسکپی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جذب الکترونی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جذب الکترونی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جذب الکترونی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>
              <w:rPr>
                <w:rFonts w:hint="cs"/>
                <w:rtl/>
                <w:lang w:bidi="fa-IR"/>
              </w:rPr>
              <w:t xml:space="preserve">5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9730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طیف سنجی </w:t>
            </w:r>
            <w:r>
              <w:rPr>
                <w:rFonts w:hint="cs"/>
                <w:rtl/>
                <w:lang w:bidi="fa-IR"/>
              </w:rPr>
              <w:t>ارتعاشی و چرخشی: زیرقرمز، رامان و میکروویو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هفته5</w:t>
            </w: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9730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ارتعاشی و چرخشی: زیرقرمز، رامان و میکروویو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طیف سنجی ارتعاشی و چرخشی: زیرقرمز، رامان و میکروویو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</w:t>
            </w:r>
            <w:r>
              <w:rPr>
                <w:rFonts w:hint="cs"/>
                <w:rtl/>
                <w:lang w:bidi="fa-IR"/>
              </w:rPr>
              <w:t xml:space="preserve">طیف سنجی </w:t>
            </w:r>
            <w:r>
              <w:rPr>
                <w:rFonts w:hint="cs"/>
                <w:rtl/>
                <w:lang w:bidi="fa-IR"/>
              </w:rPr>
              <w:t>رزنانس مغناطیسی هسته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NMR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97308" w:rsidRPr="00DB0346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رزنانس مغناطیسی هسته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NMR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Pr="003F254E">
              <w:rPr>
                <w:rFonts w:hint="cs"/>
                <w:rtl/>
                <w:lang w:bidi="fa-IR"/>
              </w:rPr>
              <w:t>1</w:t>
            </w:r>
            <w:r w:rsidRPr="003F254E">
              <w:rPr>
                <w:rFonts w:hint="cs"/>
                <w:rtl/>
                <w:lang w:bidi="fa-IR"/>
              </w:rPr>
              <w:t xml:space="preserve"> و منبع  4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97308" w:rsidRPr="00E8566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رزنانس مغناطیسی هسته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NMR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Pr="003F254E">
              <w:rPr>
                <w:rFonts w:hint="cs"/>
                <w:rtl/>
                <w:lang w:bidi="fa-IR"/>
              </w:rPr>
              <w:t>منبع 1</w:t>
            </w:r>
            <w:r w:rsidRPr="003F254E">
              <w:rPr>
                <w:rFonts w:hint="cs"/>
                <w:rtl/>
                <w:lang w:bidi="fa-IR"/>
              </w:rPr>
              <w:t xml:space="preserve"> و منبع 4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97308" w:rsidRPr="00E8566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طیف سنجی رزنانس مغناطیسی </w:t>
            </w:r>
            <w:r>
              <w:rPr>
                <w:rFonts w:hint="cs"/>
                <w:rtl/>
                <w:lang w:bidi="fa-IR"/>
              </w:rPr>
              <w:t>الکترون</w:t>
            </w:r>
            <w:r>
              <w:rPr>
                <w:rFonts w:hint="cs"/>
                <w:rtl/>
                <w:lang w:bidi="fa-IR"/>
              </w:rPr>
              <w:t xml:space="preserve">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EPR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  <w:p w:rsidR="00397308" w:rsidRPr="00397308" w:rsidRDefault="00397308" w:rsidP="0039730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97308" w:rsidRPr="00E8566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رزنانس مغناطیسی الکترون 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EPR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و مسایل پایان فصل مرتبط</w:t>
            </w: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97308" w:rsidRPr="00E85668" w:rsidRDefault="00397308" w:rsidP="0039730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طیف سنجی </w:t>
            </w:r>
            <w:r>
              <w:rPr>
                <w:rFonts w:hint="cs"/>
                <w:rtl/>
                <w:lang w:bidi="fa-IR"/>
              </w:rPr>
              <w:t>موزباور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18" w:type="pct"/>
            <w:vAlign w:val="center"/>
          </w:tcPr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7308" w:rsidTr="007F2ED7">
        <w:tc>
          <w:tcPr>
            <w:tcW w:w="344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97308" w:rsidRPr="00E85668" w:rsidRDefault="00397308" w:rsidP="003973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308" w:rsidRDefault="00397308" w:rsidP="00397308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طیف سنجی موزباور</w:t>
            </w:r>
          </w:p>
          <w:p w:rsidR="00397308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7308" w:rsidRPr="007B39D6" w:rsidRDefault="00397308" w:rsidP="003973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tbl>
            <w:tblPr>
              <w:tblStyle w:val="TableGrid"/>
              <w:tblpPr w:leftFromText="180" w:rightFromText="180" w:vertAnchor="text" w:tblpXSpec="right" w:tblpY="1"/>
              <w:tblOverlap w:val="never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2834"/>
            </w:tblGrid>
            <w:tr w:rsidR="00397308" w:rsidTr="00604865">
              <w:tc>
                <w:tcPr>
                  <w:tcW w:w="1418" w:type="pct"/>
                  <w:vAlign w:val="center"/>
                </w:tcPr>
                <w:p w:rsidR="00397308" w:rsidRDefault="00397308" w:rsidP="00397308">
                  <w:pPr>
                    <w:ind w:firstLine="0"/>
                    <w:jc w:val="both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تمرینات و مسایل پایان فصل مرتبط</w:t>
                  </w:r>
                </w:p>
              </w:tc>
            </w:tr>
          </w:tbl>
          <w:p w:rsidR="00397308" w:rsidRDefault="00397308" w:rsidP="0039730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7308" w:rsidRDefault="00397308" w:rsidP="003973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9D" w:rsidRDefault="00972C9D" w:rsidP="00061A9B">
      <w:pPr>
        <w:spacing w:after="0"/>
      </w:pPr>
      <w:r>
        <w:separator/>
      </w:r>
    </w:p>
  </w:endnote>
  <w:endnote w:type="continuationSeparator" w:id="0">
    <w:p w:rsidR="00972C9D" w:rsidRDefault="00972C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30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9D" w:rsidRDefault="00972C9D" w:rsidP="00061A9B">
      <w:pPr>
        <w:spacing w:after="0"/>
      </w:pPr>
      <w:r>
        <w:separator/>
      </w:r>
    </w:p>
  </w:footnote>
  <w:footnote w:type="continuationSeparator" w:id="0">
    <w:p w:rsidR="00972C9D" w:rsidRDefault="00972C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299"/>
    <w:rsid w:val="00211920"/>
    <w:rsid w:val="00261C5C"/>
    <w:rsid w:val="00262DF5"/>
    <w:rsid w:val="002A348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7308"/>
    <w:rsid w:val="003B7E12"/>
    <w:rsid w:val="003D7A1B"/>
    <w:rsid w:val="003F254E"/>
    <w:rsid w:val="00466747"/>
    <w:rsid w:val="004A4A5B"/>
    <w:rsid w:val="004B4983"/>
    <w:rsid w:val="004C5DB1"/>
    <w:rsid w:val="004D2BB2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F2ED7"/>
    <w:rsid w:val="008120F9"/>
    <w:rsid w:val="00822340"/>
    <w:rsid w:val="00853C2F"/>
    <w:rsid w:val="00863C0C"/>
    <w:rsid w:val="0087319C"/>
    <w:rsid w:val="00897957"/>
    <w:rsid w:val="008C3AB5"/>
    <w:rsid w:val="008E0391"/>
    <w:rsid w:val="00914703"/>
    <w:rsid w:val="00962D1F"/>
    <w:rsid w:val="00972C9D"/>
    <w:rsid w:val="0098549E"/>
    <w:rsid w:val="0099014B"/>
    <w:rsid w:val="009C0041"/>
    <w:rsid w:val="009C2719"/>
    <w:rsid w:val="009F0C76"/>
    <w:rsid w:val="009F1D2F"/>
    <w:rsid w:val="009F1DA8"/>
    <w:rsid w:val="00A51E3F"/>
    <w:rsid w:val="00AB0556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22C1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503D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hebb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2B44-3B87-4577-BE37-37B2F6D9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Scis mohebi</cp:lastModifiedBy>
  <cp:revision>3</cp:revision>
  <dcterms:created xsi:type="dcterms:W3CDTF">2019-03-05T13:23:00Z</dcterms:created>
  <dcterms:modified xsi:type="dcterms:W3CDTF">2019-03-05T13:50:00Z</dcterms:modified>
</cp:coreProperties>
</file>