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8D" w:rsidRPr="003B44BB" w:rsidRDefault="00C1512E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;mso-wrap-style:squar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A324B7">
            <w:pPr>
              <w:ind w:firstLine="0"/>
              <w:jc w:val="left"/>
              <w:rPr>
                <w:rFonts w:hint="cs"/>
                <w:sz w:val="20"/>
                <w:rtl/>
                <w:lang w:bidi="fa-IR"/>
              </w:rPr>
            </w:pPr>
            <w:r>
              <w:rPr>
                <w:sz w:val="20"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 xml:space="preserve">بهینه سازی </w:t>
            </w:r>
            <w:r w:rsidR="00A324B7">
              <w:rPr>
                <w:rFonts w:hint="cs"/>
                <w:sz w:val="20"/>
                <w:rtl/>
                <w:lang w:bidi="fa-IR"/>
              </w:rPr>
              <w:t>غیرخطی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010C28" w:rsidP="00A324B7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شنیه 1</w:t>
            </w:r>
            <w:r w:rsidR="00A324B7">
              <w:rPr>
                <w:rFonts w:hint="cs"/>
                <w:sz w:val="20"/>
                <w:rtl/>
                <w:lang w:bidi="fa-IR"/>
              </w:rPr>
              <w:t>2</w:t>
            </w:r>
            <w:r>
              <w:rPr>
                <w:rFonts w:hint="cs"/>
                <w:sz w:val="20"/>
                <w:rtl/>
                <w:lang w:bidi="fa-IR"/>
              </w:rPr>
              <w:t>-1</w:t>
            </w:r>
            <w:r w:rsidR="00A324B7">
              <w:rPr>
                <w:rFonts w:hint="cs"/>
                <w:sz w:val="20"/>
                <w:rtl/>
                <w:lang w:bidi="fa-IR"/>
              </w:rPr>
              <w:t>4</w:t>
            </w:r>
            <w:r>
              <w:rPr>
                <w:rFonts w:hint="cs"/>
                <w:sz w:val="20"/>
                <w:rtl/>
                <w:lang w:bidi="fa-IR"/>
              </w:rPr>
              <w:t xml:space="preserve"> دوشنبه </w:t>
            </w:r>
            <w:r w:rsidR="00A324B7">
              <w:rPr>
                <w:rFonts w:hint="cs"/>
                <w:sz w:val="20"/>
                <w:rtl/>
                <w:lang w:bidi="fa-IR"/>
              </w:rPr>
              <w:t>8</w:t>
            </w:r>
            <w:r>
              <w:rPr>
                <w:rFonts w:hint="cs"/>
                <w:sz w:val="20"/>
                <w:rtl/>
                <w:lang w:bidi="fa-IR"/>
              </w:rPr>
              <w:t>-</w:t>
            </w:r>
            <w:r w:rsidR="00A324B7">
              <w:rPr>
                <w:rFonts w:hint="cs"/>
                <w:sz w:val="20"/>
                <w:rtl/>
                <w:lang w:bidi="fa-IR"/>
              </w:rPr>
              <w:t>10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EA7DEC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بهینه سازی خطی دوره کارشناسی</w:t>
            </w:r>
          </w:p>
          <w:p w:rsidR="00D60A58" w:rsidRPr="00A324B7" w:rsidRDefault="00EA7DEC" w:rsidP="00A324B7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جبر خطی دوره کارشناسی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متلب</w:t>
            </w:r>
          </w:p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ایمز</w:t>
            </w:r>
          </w:p>
          <w:p w:rsidR="00D60A58" w:rsidRPr="00592810" w:rsidRDefault="00D60A58" w:rsidP="00592810">
            <w:pPr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Pr="00010C28" w:rsidRDefault="00A324B7" w:rsidP="00592810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بهینه سازی (تئوری و کاربرد) تالیف اس اس رائو</w:t>
            </w:r>
            <w:r w:rsidR="00592810">
              <w:rPr>
                <w:rFonts w:hint="cs"/>
                <w:rtl/>
                <w:lang w:bidi="fa-IR"/>
              </w:rPr>
              <w:t xml:space="preserve">، ترجمه سید محمد مهدی شهیدی پور </w:t>
            </w:r>
            <w:r w:rsidR="00592810">
              <w:rPr>
                <w:rFonts w:cs="Times New Roman" w:hint="cs"/>
                <w:rtl/>
                <w:lang w:bidi="fa-IR"/>
              </w:rPr>
              <w:t>–</w:t>
            </w:r>
            <w:r w:rsidR="00592810">
              <w:rPr>
                <w:rFonts w:hint="cs"/>
                <w:rtl/>
                <w:lang w:bidi="fa-IR"/>
              </w:rPr>
              <w:t xml:space="preserve"> انتشارات دانشگاه  فردوسی مشهد- جلد اول و جلد دوم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>سیاست‌های ارزشیابی به‌طور شفاف در این قسمت شرح داده شو</w:t>
            </w:r>
            <w:bookmarkStart w:id="0" w:name="_GoBack"/>
            <w:bookmarkEnd w:id="0"/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70%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D74467" w:rsidP="00703C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1" w:type="pct"/>
        <w:tblLook w:val="04A0"/>
      </w:tblPr>
      <w:tblGrid>
        <w:gridCol w:w="1384"/>
        <w:gridCol w:w="4055"/>
        <w:gridCol w:w="2699"/>
        <w:gridCol w:w="2880"/>
      </w:tblGrid>
      <w:tr w:rsidR="007C4B7C" w:rsidTr="001E0992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1E0992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840" w:type="pct"/>
            <w:shd w:val="clear" w:color="auto" w:fill="F2F2F2" w:themeFill="background1" w:themeFillShade="F2"/>
            <w:vAlign w:val="center"/>
          </w:tcPr>
          <w:p w:rsidR="009E3E8D" w:rsidRDefault="009E3E8D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25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307" w:type="pct"/>
            <w:shd w:val="clear" w:color="auto" w:fill="F2F2F2" w:themeFill="background1" w:themeFillShade="F2"/>
            <w:vAlign w:val="center"/>
          </w:tcPr>
          <w:p w:rsidR="009E3E8D" w:rsidRDefault="009E3E8D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9E3E8D" w:rsidTr="001E0992">
        <w:trPr>
          <w:trHeight w:val="1745"/>
        </w:trPr>
        <w:tc>
          <w:tcPr>
            <w:tcW w:w="628" w:type="pct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40" w:type="pct"/>
            <w:shd w:val="clear" w:color="auto" w:fill="FFFFFF" w:themeFill="background1"/>
            <w:vAlign w:val="center"/>
          </w:tcPr>
          <w:p w:rsidR="009E3E8D" w:rsidRPr="00582CCD" w:rsidRDefault="009E3E8D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معرفی و دسته بندی انواع مسائل بهینه سازی و مفاهیم اساسی</w:t>
            </w:r>
          </w:p>
          <w:p w:rsidR="009E3E8D" w:rsidRPr="00582CCD" w:rsidRDefault="009E3E8D" w:rsidP="00C44141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3E8D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40" w:type="pct"/>
            <w:vAlign w:val="center"/>
          </w:tcPr>
          <w:p w:rsidR="009E3E8D" w:rsidRPr="00582CCD" w:rsidRDefault="009E3E8D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9E3E8D" w:rsidRPr="00582CCD" w:rsidRDefault="009E3E8D" w:rsidP="00D9428D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AE30D5">
              <w:rPr>
                <w:rFonts w:hint="cs"/>
                <w:b/>
                <w:bCs/>
                <w:sz w:val="20"/>
                <w:rtl/>
                <w:lang w:bidi="fa-IR"/>
              </w:rPr>
              <w:t>مدلسازی عدد صحیح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3E8D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 4</w:t>
            </w:r>
          </w:p>
        </w:tc>
        <w:tc>
          <w:tcPr>
            <w:tcW w:w="1840" w:type="pct"/>
            <w:vAlign w:val="center"/>
          </w:tcPr>
          <w:p w:rsidR="009E3E8D" w:rsidRPr="00582CCD" w:rsidRDefault="009E3E8D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روشهای بهینه سازی در مسائل  عدد صحیح و عدد صحیح آمیخته</w:t>
            </w:r>
          </w:p>
          <w:p w:rsidR="009E3E8D" w:rsidRPr="00582CCD" w:rsidRDefault="009E3E8D" w:rsidP="005F4E91">
            <w:pPr>
              <w:ind w:firstLine="0"/>
              <w:rPr>
                <w:sz w:val="20"/>
                <w:rtl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3E8D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و 6 و 7</w:t>
            </w:r>
          </w:p>
        </w:tc>
        <w:tc>
          <w:tcPr>
            <w:tcW w:w="1840" w:type="pct"/>
            <w:vAlign w:val="center"/>
          </w:tcPr>
          <w:p w:rsidR="009E3E8D" w:rsidRPr="00582CCD" w:rsidRDefault="009E3E8D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برنامه ریزی پویا قطعی و تصادفی</w:t>
            </w:r>
            <w:r w:rsidRPr="00582CCD">
              <w:rPr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3E8D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840" w:type="pct"/>
            <w:vAlign w:val="center"/>
          </w:tcPr>
          <w:p w:rsidR="009E3E8D" w:rsidRPr="00582CCD" w:rsidRDefault="009E3E8D" w:rsidP="009E3E8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برنامه ریزی غیرخطی - روشهای کمینه سازی تک متغیره(درونیابی، جستجوی نامتناهی، نسبت طلایی و ...)</w:t>
            </w:r>
          </w:p>
          <w:p w:rsidR="009E3E8D" w:rsidRPr="00582CCD" w:rsidRDefault="009E3E8D" w:rsidP="005F4E91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  <w:r w:rsidR="001E0992">
              <w:rPr>
                <w:rFonts w:hint="cs"/>
                <w:sz w:val="20"/>
                <w:rtl/>
                <w:lang w:bidi="fa-IR"/>
              </w:rPr>
              <w:t>(هفته 8)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3E8D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</w:t>
            </w:r>
          </w:p>
        </w:tc>
        <w:tc>
          <w:tcPr>
            <w:tcW w:w="1840" w:type="pct"/>
            <w:vAlign w:val="center"/>
          </w:tcPr>
          <w:p w:rsidR="00AD4FC1" w:rsidRDefault="009E3E8D" w:rsidP="00AD4FC1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برنامه ریزی غیرخطی نامقید</w:t>
            </w:r>
            <w:r w:rsidR="00AD4FC1">
              <w:rPr>
                <w:rFonts w:hint="cs"/>
                <w:b/>
                <w:bCs/>
                <w:sz w:val="20"/>
                <w:rtl/>
                <w:lang w:bidi="fa-IR"/>
              </w:rPr>
              <w:t xml:space="preserve"> و شرایط بهینگی-</w:t>
            </w:r>
          </w:p>
          <w:p w:rsidR="009E3E8D" w:rsidRPr="00582CCD" w:rsidRDefault="009E3E8D" w:rsidP="00AD4FC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 روشهای کمینه سازی چند متغیره(</w:t>
            </w:r>
            <w:r w:rsidR="00AD4FC1">
              <w:rPr>
                <w:rFonts w:hint="cs"/>
                <w:b/>
                <w:bCs/>
                <w:sz w:val="20"/>
                <w:rtl/>
                <w:lang w:bidi="fa-IR"/>
              </w:rPr>
              <w:t>روشهای گرادیان</w:t>
            </w: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، </w:t>
            </w:r>
            <w:r w:rsidR="00AD4FC1">
              <w:rPr>
                <w:rFonts w:hint="cs"/>
                <w:b/>
                <w:bCs/>
                <w:sz w:val="20"/>
                <w:rtl/>
                <w:lang w:bidi="fa-IR"/>
              </w:rPr>
              <w:t>نیوتن</w:t>
            </w: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، </w:t>
            </w:r>
            <w:r w:rsidR="00AD4FC1">
              <w:rPr>
                <w:rFonts w:hint="cs"/>
                <w:b/>
                <w:bCs/>
                <w:sz w:val="20"/>
                <w:rtl/>
                <w:lang w:bidi="fa-IR"/>
              </w:rPr>
              <w:t>کاهشی</w:t>
            </w: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 و ...)</w:t>
            </w:r>
          </w:p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1E0992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میانترم(هفته 9)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10و11و12</w:t>
            </w:r>
          </w:p>
        </w:tc>
        <w:tc>
          <w:tcPr>
            <w:tcW w:w="1840" w:type="pct"/>
            <w:vAlign w:val="center"/>
          </w:tcPr>
          <w:p w:rsidR="001E0992" w:rsidRDefault="001E0992" w:rsidP="001E0992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برنامه ریزی غیرخطی مقید- شرایط بهینگی</w:t>
            </w:r>
          </w:p>
          <w:p w:rsidR="001E0992" w:rsidRPr="00582CCD" w:rsidRDefault="001E0992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lastRenderedPageBreak/>
              <w:t>روشهای کمینه سازی (روشهای جریمه، نیوتن، جهت های شدنی و ...)</w:t>
            </w:r>
          </w:p>
          <w:p w:rsidR="001E0992" w:rsidRPr="00582CCD" w:rsidRDefault="001E0992" w:rsidP="001E0992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  <w:r>
              <w:rPr>
                <w:rFonts w:hint="cs"/>
                <w:sz w:val="20"/>
                <w:rtl/>
                <w:lang w:bidi="fa-IR"/>
              </w:rPr>
              <w:t>(هفته 11)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1840" w:type="pct"/>
            <w:vAlign w:val="center"/>
          </w:tcPr>
          <w:p w:rsidR="001E0992" w:rsidRPr="00582CCD" w:rsidRDefault="001E0992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برنامه ریزی نیمه معین</w:t>
            </w:r>
          </w:p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</w:t>
            </w:r>
          </w:p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40" w:type="pct"/>
            <w:vAlign w:val="center"/>
          </w:tcPr>
          <w:p w:rsidR="001E0992" w:rsidRPr="00582CCD" w:rsidRDefault="001E0992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بهینه سازی چندهدفه</w:t>
            </w:r>
          </w:p>
          <w:p w:rsidR="001E0992" w:rsidRPr="00582CCD" w:rsidRDefault="001E0992" w:rsidP="001E0992">
            <w:pPr>
              <w:ind w:firstLine="0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9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E55" w:rsidRDefault="00FB3E55" w:rsidP="00061A9B">
      <w:pPr>
        <w:spacing w:after="0"/>
      </w:pPr>
      <w:r>
        <w:separator/>
      </w:r>
    </w:p>
  </w:endnote>
  <w:endnote w:type="continuationSeparator" w:id="1">
    <w:p w:rsidR="00FB3E55" w:rsidRDefault="00FB3E55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C1512E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C1512E">
      <w:rPr>
        <w:lang w:bidi="fa-IR"/>
      </w:rPr>
      <w:fldChar w:fldCharType="separate"/>
    </w:r>
    <w:r w:rsidR="00DE1B06">
      <w:rPr>
        <w:noProof/>
        <w:rtl/>
        <w:lang w:bidi="fa-IR"/>
      </w:rPr>
      <w:t>1</w:t>
    </w:r>
    <w:r w:rsidR="00C1512E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E55" w:rsidRDefault="00FB3E55" w:rsidP="00061A9B">
      <w:pPr>
        <w:spacing w:after="0"/>
      </w:pPr>
      <w:r>
        <w:separator/>
      </w:r>
    </w:p>
  </w:footnote>
  <w:footnote w:type="continuationSeparator" w:id="1">
    <w:p w:rsidR="00FB3E55" w:rsidRDefault="00FB3E5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0C28"/>
    <w:rsid w:val="0001449B"/>
    <w:rsid w:val="00047C80"/>
    <w:rsid w:val="00055FF1"/>
    <w:rsid w:val="00061A9B"/>
    <w:rsid w:val="000B6B37"/>
    <w:rsid w:val="00130AB3"/>
    <w:rsid w:val="0013501B"/>
    <w:rsid w:val="00165901"/>
    <w:rsid w:val="0018085B"/>
    <w:rsid w:val="001820FC"/>
    <w:rsid w:val="00192BA1"/>
    <w:rsid w:val="00197896"/>
    <w:rsid w:val="001A4CEF"/>
    <w:rsid w:val="001B1F97"/>
    <w:rsid w:val="001B2A3A"/>
    <w:rsid w:val="001E0992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401CE6"/>
    <w:rsid w:val="00444A73"/>
    <w:rsid w:val="00463FCC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92810"/>
    <w:rsid w:val="005A7B23"/>
    <w:rsid w:val="005B2735"/>
    <w:rsid w:val="005C0385"/>
    <w:rsid w:val="005D0BB3"/>
    <w:rsid w:val="005D7AAE"/>
    <w:rsid w:val="005F4E91"/>
    <w:rsid w:val="005F7A96"/>
    <w:rsid w:val="00605B7A"/>
    <w:rsid w:val="00611622"/>
    <w:rsid w:val="006B6127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7F02C9"/>
    <w:rsid w:val="007F5554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C0041"/>
    <w:rsid w:val="009C2719"/>
    <w:rsid w:val="009E3E8D"/>
    <w:rsid w:val="009F0C76"/>
    <w:rsid w:val="009F1DA8"/>
    <w:rsid w:val="00A324B7"/>
    <w:rsid w:val="00A363A1"/>
    <w:rsid w:val="00A51C52"/>
    <w:rsid w:val="00A51E3F"/>
    <w:rsid w:val="00A52353"/>
    <w:rsid w:val="00A94048"/>
    <w:rsid w:val="00AB3C79"/>
    <w:rsid w:val="00AC5599"/>
    <w:rsid w:val="00AD40DF"/>
    <w:rsid w:val="00AD4FC1"/>
    <w:rsid w:val="00AE30D5"/>
    <w:rsid w:val="00AF4840"/>
    <w:rsid w:val="00B01882"/>
    <w:rsid w:val="00B53F72"/>
    <w:rsid w:val="00B77E9C"/>
    <w:rsid w:val="00BA374A"/>
    <w:rsid w:val="00BF2A62"/>
    <w:rsid w:val="00C1512E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74467"/>
    <w:rsid w:val="00D9428D"/>
    <w:rsid w:val="00DB0346"/>
    <w:rsid w:val="00DB0DFA"/>
    <w:rsid w:val="00DE1B06"/>
    <w:rsid w:val="00DF0011"/>
    <w:rsid w:val="00E504B7"/>
    <w:rsid w:val="00E85668"/>
    <w:rsid w:val="00EA7DEC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E72BB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2882-BDE1-4F1D-A6C7-34A00DE9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parham jigar</cp:lastModifiedBy>
  <cp:revision>12</cp:revision>
  <cp:lastPrinted>2018-07-09T15:10:00Z</cp:lastPrinted>
  <dcterms:created xsi:type="dcterms:W3CDTF">2019-04-06T15:54:00Z</dcterms:created>
  <dcterms:modified xsi:type="dcterms:W3CDTF">2019-04-06T16:26:00Z</dcterms:modified>
</cp:coreProperties>
</file>