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8D" w:rsidRPr="003B44BB" w:rsidRDefault="005B6CE2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F9E8CC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212865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sz w:val="20"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بهینه سازی </w:t>
            </w:r>
            <w:r w:rsidR="00192BB6">
              <w:rPr>
                <w:rFonts w:hint="cs"/>
                <w:sz w:val="20"/>
                <w:rtl/>
                <w:lang w:bidi="fa-IR"/>
              </w:rPr>
              <w:t xml:space="preserve">خطی </w:t>
            </w:r>
            <w:r>
              <w:rPr>
                <w:rFonts w:hint="cs"/>
                <w:sz w:val="20"/>
                <w:rtl/>
                <w:lang w:bidi="fa-IR"/>
              </w:rPr>
              <w:t>پیشرفته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363CE" w:rsidP="00A363CE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یک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شنیه </w:t>
            </w:r>
            <w:r w:rsidR="00212865">
              <w:rPr>
                <w:rFonts w:hint="cs"/>
                <w:sz w:val="20"/>
                <w:rtl/>
                <w:lang w:bidi="fa-IR"/>
              </w:rPr>
              <w:t>16</w:t>
            </w:r>
            <w:r w:rsidR="00010C28">
              <w:rPr>
                <w:rFonts w:hint="cs"/>
                <w:sz w:val="20"/>
                <w:rtl/>
                <w:lang w:bidi="fa-IR"/>
              </w:rPr>
              <w:t>-1</w:t>
            </w:r>
            <w:r w:rsidR="00212865">
              <w:rPr>
                <w:rFonts w:hint="cs"/>
                <w:sz w:val="20"/>
                <w:rtl/>
                <w:lang w:bidi="fa-IR"/>
              </w:rPr>
              <w:t>8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سه</w:t>
            </w:r>
            <w:r w:rsidR="00212865">
              <w:rPr>
                <w:sz w:val="20"/>
                <w:rtl/>
                <w:lang w:bidi="fa-IR"/>
              </w:rPr>
              <w:softHyphen/>
            </w:r>
            <w:r w:rsidR="00010C28">
              <w:rPr>
                <w:rFonts w:hint="cs"/>
                <w:sz w:val="20"/>
                <w:rtl/>
                <w:lang w:bidi="fa-IR"/>
              </w:rPr>
              <w:t>شنبه 1</w:t>
            </w:r>
            <w:r w:rsidR="00212865">
              <w:rPr>
                <w:rFonts w:hint="cs"/>
                <w:sz w:val="20"/>
                <w:rtl/>
                <w:lang w:bidi="fa-IR"/>
              </w:rPr>
              <w:t>8</w:t>
            </w:r>
            <w:r w:rsidR="00010C28">
              <w:rPr>
                <w:rFonts w:hint="cs"/>
                <w:sz w:val="20"/>
                <w:rtl/>
                <w:lang w:bidi="fa-IR"/>
              </w:rPr>
              <w:t>-</w:t>
            </w:r>
            <w:r w:rsidR="00212865">
              <w:rPr>
                <w:rFonts w:hint="cs"/>
                <w:sz w:val="20"/>
                <w:rtl/>
                <w:lang w:bidi="fa-IR"/>
              </w:rPr>
              <w:t>20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D60A58" w:rsidRPr="00FC58F8" w:rsidRDefault="00EA7DEC" w:rsidP="00AF440F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بهینه سازی خطی </w:t>
            </w:r>
            <w:r w:rsidR="00AF440F">
              <w:rPr>
                <w:rFonts w:hint="cs"/>
                <w:rtl/>
                <w:lang w:bidi="fa-IR"/>
              </w:rPr>
              <w:t>پیشرفته 1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متلب</w:t>
            </w:r>
          </w:p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ایمز</w:t>
            </w:r>
          </w:p>
          <w:p w:rsidR="00D60A58" w:rsidRPr="00D60A58" w:rsidRDefault="00212865" w:rsidP="00AF440F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گمز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Pr="00246463" w:rsidRDefault="00246463" w:rsidP="00246463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r w:rsidRPr="00246463">
              <w:rPr>
                <w:rFonts w:cs="Times New Roman"/>
              </w:rPr>
              <w:t>Ben-Tal, A., El-</w:t>
            </w:r>
            <w:proofErr w:type="spellStart"/>
            <w:r w:rsidRPr="00246463">
              <w:rPr>
                <w:rFonts w:cs="Times New Roman"/>
              </w:rPr>
              <w:t>Ghaoui</w:t>
            </w:r>
            <w:proofErr w:type="spellEnd"/>
            <w:r w:rsidRPr="00246463">
              <w:rPr>
                <w:rFonts w:cs="Times New Roman"/>
              </w:rPr>
              <w:t xml:space="preserve">, L., </w:t>
            </w:r>
            <w:proofErr w:type="spellStart"/>
            <w:r w:rsidRPr="00246463">
              <w:rPr>
                <w:rFonts w:cs="Times New Roman"/>
              </w:rPr>
              <w:t>Nemirovski</w:t>
            </w:r>
            <w:proofErr w:type="spellEnd"/>
            <w:r w:rsidRPr="00246463">
              <w:rPr>
                <w:rFonts w:cs="Times New Roman"/>
              </w:rPr>
              <w:t>, A., (2009). Robust optimization, Princeton university press.</w:t>
            </w:r>
          </w:p>
          <w:p w:rsidR="00246463" w:rsidRPr="00246463" w:rsidRDefault="00246463" w:rsidP="00246463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>
              <w:rPr>
                <w:rFonts w:cs="Times New Roman"/>
              </w:rPr>
              <w:t>Birge</w:t>
            </w:r>
            <w:proofErr w:type="spellEnd"/>
            <w:r>
              <w:rPr>
                <w:rFonts w:cs="Times New Roman"/>
              </w:rPr>
              <w:t xml:space="preserve"> J.R., </w:t>
            </w:r>
            <w:proofErr w:type="spellStart"/>
            <w:r>
              <w:rPr>
                <w:rFonts w:cs="Times New Roman"/>
              </w:rPr>
              <w:t>Louveaux</w:t>
            </w:r>
            <w:proofErr w:type="spellEnd"/>
            <w:r>
              <w:rPr>
                <w:rFonts w:cs="Times New Roman"/>
              </w:rPr>
              <w:t xml:space="preserve"> F. Introduction to Stochastic Programming. Springer Series in Operations Research. Springer-</w:t>
            </w:r>
            <w:proofErr w:type="spellStart"/>
            <w:r>
              <w:rPr>
                <w:rFonts w:cs="Times New Roman"/>
              </w:rPr>
              <w:t>Verlag</w:t>
            </w:r>
            <w:proofErr w:type="spellEnd"/>
            <w:r>
              <w:rPr>
                <w:rFonts w:cs="Times New Roman"/>
              </w:rPr>
              <w:t>, New York; 1997</w:t>
            </w:r>
          </w:p>
          <w:p w:rsidR="00246463" w:rsidRPr="00010C28" w:rsidRDefault="00246463" w:rsidP="00246463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تصادفی، دکتر سید علی میرحسنی، فرناز هوشمند خلیق- انشارات دانشگاه صنعتی امیرکبیر</w:t>
            </w:r>
            <w:bookmarkStart w:id="0" w:name="_GoBack"/>
            <w:bookmarkEnd w:id="0"/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212865">
              <w:rPr>
                <w:rFonts w:hint="cs"/>
                <w:rtl/>
                <w:lang w:bidi="fa-IR"/>
              </w:rPr>
              <w:t xml:space="preserve">مجازی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212865" w:rsidP="0021286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%</w:t>
            </w:r>
            <w:r>
              <w:rPr>
                <w:rFonts w:hint="cs"/>
                <w:rtl/>
                <w:lang w:bidi="fa-IR"/>
              </w:rPr>
              <w:t>50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212865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212865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30" w:type="pct"/>
        <w:tblLook w:val="04A0" w:firstRow="1" w:lastRow="0" w:firstColumn="1" w:lastColumn="0" w:noHBand="0" w:noVBand="1"/>
      </w:tblPr>
      <w:tblGrid>
        <w:gridCol w:w="923"/>
        <w:gridCol w:w="2655"/>
        <w:gridCol w:w="2458"/>
        <w:gridCol w:w="2431"/>
        <w:gridCol w:w="2604"/>
      </w:tblGrid>
      <w:tr w:rsidR="007C4B7C" w:rsidTr="0029408A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29408A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C6E03" w:rsidTr="0029408A">
        <w:tc>
          <w:tcPr>
            <w:tcW w:w="417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19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29408A">
        <w:trPr>
          <w:trHeight w:val="1745"/>
        </w:trPr>
        <w:tc>
          <w:tcPr>
            <w:tcW w:w="417" w:type="pct"/>
            <w:vAlign w:val="center"/>
          </w:tcPr>
          <w:p w:rsidR="00C47146" w:rsidRPr="00910BB9" w:rsidRDefault="00C47146" w:rsidP="002940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1</w:t>
            </w:r>
            <w:r w:rsidR="0029408A">
              <w:rPr>
                <w:rFonts w:hint="cs"/>
                <w:b/>
                <w:bCs/>
                <w:sz w:val="20"/>
                <w:rtl/>
                <w:lang w:bidi="fa-IR"/>
              </w:rPr>
              <w:t>-3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C47146" w:rsidRPr="00910BB9" w:rsidRDefault="002940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29408A">
              <w:rPr>
                <w:b/>
                <w:bCs/>
                <w:sz w:val="20"/>
                <w:rtl/>
                <w:lang w:bidi="fa-IR"/>
              </w:rPr>
              <w:t>مقدمه‌ا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بر عدم‌قطع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ت،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خطر‌پذ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ر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(ر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سک</w:t>
            </w:r>
            <w:r w:rsidRPr="0029408A">
              <w:rPr>
                <w:b/>
                <w:bCs/>
                <w:sz w:val="20"/>
                <w:rtl/>
                <w:lang w:bidi="fa-IR"/>
              </w:rPr>
              <w:t>) و استوار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10" w:type="pct"/>
            <w:vAlign w:val="center"/>
          </w:tcPr>
          <w:p w:rsidR="00C47146" w:rsidRPr="00582CCD" w:rsidRDefault="00C47146" w:rsidP="00444A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176" w:type="pct"/>
          </w:tcPr>
          <w:p w:rsidR="00C47146" w:rsidRPr="00582CCD" w:rsidRDefault="0029408A" w:rsidP="0029408A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>
              <w:rPr>
                <w:rFonts w:hint="cs"/>
                <w:sz w:val="20"/>
                <w:rtl/>
                <w:lang w:bidi="fa-IR"/>
              </w:rPr>
              <w:t>(جلسه3)</w:t>
            </w:r>
          </w:p>
        </w:tc>
      </w:tr>
      <w:tr w:rsidR="00005B9C" w:rsidTr="0029408A">
        <w:tc>
          <w:tcPr>
            <w:tcW w:w="417" w:type="pct"/>
            <w:vAlign w:val="center"/>
          </w:tcPr>
          <w:p w:rsidR="00C47146" w:rsidRDefault="0029408A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4-7</w:t>
            </w:r>
          </w:p>
        </w:tc>
        <w:tc>
          <w:tcPr>
            <w:tcW w:w="1199" w:type="pct"/>
            <w:vAlign w:val="center"/>
          </w:tcPr>
          <w:p w:rsidR="00005B9C" w:rsidRPr="00C567DA" w:rsidRDefault="002940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29408A">
              <w:rPr>
                <w:b/>
                <w:bCs/>
                <w:sz w:val="20"/>
                <w:rtl/>
                <w:lang w:bidi="fa-IR"/>
              </w:rPr>
              <w:t>به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نه‌ساز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استوار تصادف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مبتن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بر سنار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و</w:t>
            </w:r>
          </w:p>
          <w:p w:rsidR="00C47146" w:rsidRPr="00C567DA" w:rsidRDefault="00C47146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110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76" w:type="pct"/>
          </w:tcPr>
          <w:p w:rsidR="00C47146" w:rsidRPr="00582CCD" w:rsidRDefault="0029408A" w:rsidP="0029408A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7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005B9C" w:rsidTr="0029408A">
        <w:tc>
          <w:tcPr>
            <w:tcW w:w="417" w:type="pct"/>
            <w:vAlign w:val="center"/>
          </w:tcPr>
          <w:p w:rsidR="00C47146" w:rsidRDefault="0029408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8-12</w:t>
            </w:r>
          </w:p>
        </w:tc>
        <w:tc>
          <w:tcPr>
            <w:tcW w:w="1199" w:type="pct"/>
            <w:vAlign w:val="center"/>
          </w:tcPr>
          <w:p w:rsidR="00C47146" w:rsidRPr="00C567DA" w:rsidRDefault="002940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29408A">
              <w:rPr>
                <w:b/>
                <w:bCs/>
                <w:sz w:val="20"/>
                <w:rtl/>
                <w:lang w:bidi="fa-IR"/>
              </w:rPr>
              <w:t>به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نه‌ساز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استوار مبتن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بر مجموعه‌ها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عدم‌قطع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ت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بسته</w:t>
            </w:r>
          </w:p>
        </w:tc>
        <w:tc>
          <w:tcPr>
            <w:tcW w:w="1110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76" w:type="pct"/>
          </w:tcPr>
          <w:p w:rsidR="00C47146" w:rsidRPr="00582CCD" w:rsidRDefault="0029408A" w:rsidP="0029408A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12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005B9C" w:rsidTr="0029408A">
        <w:tc>
          <w:tcPr>
            <w:tcW w:w="417" w:type="pct"/>
            <w:vAlign w:val="center"/>
          </w:tcPr>
          <w:p w:rsidR="00C47146" w:rsidRDefault="0029408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13-16</w:t>
            </w:r>
          </w:p>
        </w:tc>
        <w:tc>
          <w:tcPr>
            <w:tcW w:w="1199" w:type="pct"/>
            <w:vAlign w:val="center"/>
          </w:tcPr>
          <w:p w:rsidR="00DB0346" w:rsidRPr="00582CCD" w:rsidRDefault="0029408A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29408A">
              <w:rPr>
                <w:b/>
                <w:bCs/>
                <w:sz w:val="20"/>
                <w:rtl/>
                <w:lang w:bidi="fa-IR"/>
              </w:rPr>
              <w:t>به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نه</w:t>
            </w:r>
            <w:r w:rsidRPr="0029408A">
              <w:rPr>
                <w:rFonts w:hint="eastAsia"/>
                <w:b/>
                <w:bCs/>
                <w:sz w:val="20"/>
                <w:cs/>
                <w:lang w:bidi="fa-IR"/>
              </w:rPr>
              <w:t>‎‌</w:t>
            </w:r>
            <w:r w:rsidRPr="0029408A">
              <w:rPr>
                <w:rFonts w:hint="eastAsia"/>
                <w:b/>
                <w:bCs/>
                <w:sz w:val="20"/>
                <w:rtl/>
                <w:lang w:bidi="fa-IR"/>
              </w:rPr>
              <w:t>ساز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استوار فاز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10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76" w:type="pct"/>
          </w:tcPr>
          <w:p w:rsidR="00C47146" w:rsidRPr="00582CCD" w:rsidRDefault="0029408A" w:rsidP="0029408A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16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005B9C" w:rsidTr="0029408A">
        <w:tc>
          <w:tcPr>
            <w:tcW w:w="417" w:type="pct"/>
            <w:vAlign w:val="center"/>
          </w:tcPr>
          <w:p w:rsidR="00C47146" w:rsidRDefault="0029408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17-24</w:t>
            </w:r>
          </w:p>
        </w:tc>
        <w:tc>
          <w:tcPr>
            <w:tcW w:w="1199" w:type="pct"/>
            <w:vAlign w:val="center"/>
          </w:tcPr>
          <w:p w:rsidR="00C47146" w:rsidRPr="00582CCD" w:rsidRDefault="0029408A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 w:rsidRPr="0029408A">
              <w:rPr>
                <w:b/>
                <w:bCs/>
                <w:sz w:val="20"/>
                <w:rtl/>
                <w:lang w:bidi="fa-IR"/>
              </w:rPr>
              <w:t>روش‌ها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اعتبارسنج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مدل‌ها</w:t>
            </w:r>
            <w:r w:rsidRPr="0029408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29408A">
              <w:rPr>
                <w:b/>
                <w:bCs/>
                <w:sz w:val="20"/>
                <w:rtl/>
                <w:lang w:bidi="fa-IR"/>
              </w:rPr>
              <w:t xml:space="preserve"> استوار</w:t>
            </w:r>
          </w:p>
        </w:tc>
        <w:tc>
          <w:tcPr>
            <w:tcW w:w="1110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76" w:type="pct"/>
          </w:tcPr>
          <w:p w:rsidR="00C47146" w:rsidRPr="00582CCD" w:rsidRDefault="0029408A" w:rsidP="0029408A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22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48" w:rsidRDefault="007E7148" w:rsidP="00061A9B">
      <w:pPr>
        <w:spacing w:after="0"/>
      </w:pPr>
      <w:r>
        <w:separator/>
      </w:r>
    </w:p>
  </w:endnote>
  <w:endnote w:type="continuationSeparator" w:id="0">
    <w:p w:rsidR="007E7148" w:rsidRDefault="007E714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ED4CB6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ED4CB6">
      <w:rPr>
        <w:lang w:bidi="fa-IR"/>
      </w:rPr>
      <w:fldChar w:fldCharType="separate"/>
    </w:r>
    <w:r w:rsidR="00246463">
      <w:rPr>
        <w:noProof/>
        <w:rtl/>
        <w:lang w:bidi="fa-IR"/>
      </w:rPr>
      <w:t>3</w:t>
    </w:r>
    <w:r w:rsidR="00ED4CB6"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48" w:rsidRDefault="007E7148" w:rsidP="00061A9B">
      <w:pPr>
        <w:spacing w:after="0"/>
      </w:pPr>
      <w:r>
        <w:separator/>
      </w:r>
    </w:p>
  </w:footnote>
  <w:footnote w:type="continuationSeparator" w:id="0">
    <w:p w:rsidR="007E7148" w:rsidRDefault="007E714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130AB3"/>
    <w:rsid w:val="0013501B"/>
    <w:rsid w:val="00165901"/>
    <w:rsid w:val="0018085B"/>
    <w:rsid w:val="001820FC"/>
    <w:rsid w:val="00192BA1"/>
    <w:rsid w:val="00192BB6"/>
    <w:rsid w:val="00197896"/>
    <w:rsid w:val="001A4CEF"/>
    <w:rsid w:val="001B1F97"/>
    <w:rsid w:val="001B2A3A"/>
    <w:rsid w:val="001E2DA0"/>
    <w:rsid w:val="001F48E0"/>
    <w:rsid w:val="00211920"/>
    <w:rsid w:val="00212865"/>
    <w:rsid w:val="00246463"/>
    <w:rsid w:val="00261C5C"/>
    <w:rsid w:val="00262DF5"/>
    <w:rsid w:val="00270A93"/>
    <w:rsid w:val="0029408A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401CE6"/>
    <w:rsid w:val="00444A73"/>
    <w:rsid w:val="00463FCC"/>
    <w:rsid w:val="00466747"/>
    <w:rsid w:val="00487C6C"/>
    <w:rsid w:val="004A4A5B"/>
    <w:rsid w:val="004C3842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A7B23"/>
    <w:rsid w:val="005B2735"/>
    <w:rsid w:val="005B6CE2"/>
    <w:rsid w:val="005C0385"/>
    <w:rsid w:val="005D0BB3"/>
    <w:rsid w:val="005D7AAE"/>
    <w:rsid w:val="005F7A96"/>
    <w:rsid w:val="00605B7A"/>
    <w:rsid w:val="00611622"/>
    <w:rsid w:val="006B612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E7148"/>
    <w:rsid w:val="007F555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8F5B32"/>
    <w:rsid w:val="00910BB9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363CE"/>
    <w:rsid w:val="00A479B9"/>
    <w:rsid w:val="00A51E3F"/>
    <w:rsid w:val="00A52353"/>
    <w:rsid w:val="00A94048"/>
    <w:rsid w:val="00AB3C79"/>
    <w:rsid w:val="00AC5599"/>
    <w:rsid w:val="00AD40DF"/>
    <w:rsid w:val="00AF440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567DA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4467"/>
    <w:rsid w:val="00D9428D"/>
    <w:rsid w:val="00DB0346"/>
    <w:rsid w:val="00DB0DFA"/>
    <w:rsid w:val="00DF0011"/>
    <w:rsid w:val="00E504B7"/>
    <w:rsid w:val="00E85668"/>
    <w:rsid w:val="00EA7DEC"/>
    <w:rsid w:val="00EB76A2"/>
    <w:rsid w:val="00ED4CB6"/>
    <w:rsid w:val="00EE56A0"/>
    <w:rsid w:val="00EF4E50"/>
    <w:rsid w:val="00EF67CA"/>
    <w:rsid w:val="00F06A90"/>
    <w:rsid w:val="00F6060B"/>
    <w:rsid w:val="00F6504B"/>
    <w:rsid w:val="00F75050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CABB3D-A913-4330-977F-8FF5D3F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DFD6-DCF5-4782-B27F-D63D2881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Windows User</cp:lastModifiedBy>
  <cp:revision>5</cp:revision>
  <cp:lastPrinted>2018-07-09T15:10:00Z</cp:lastPrinted>
  <dcterms:created xsi:type="dcterms:W3CDTF">2020-10-25T05:08:00Z</dcterms:created>
  <dcterms:modified xsi:type="dcterms:W3CDTF">2020-10-25T05:28:00Z</dcterms:modified>
</cp:coreProperties>
</file>