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tabs>
          <w:tab w:val="left" w:pos="4035"/>
          <w:tab w:val="center" w:pos="4680"/>
        </w:tabs>
        <w:ind w:firstLine="0"/>
        <w:jc w:val="both"/>
        <w:rPr>
          <w:rFonts w:hint="cs"/>
          <w:sz w:val="30"/>
          <w:szCs w:val="30"/>
          <w:rtl/>
          <w:lang w:bidi="fa-IR"/>
        </w:rPr>
      </w:pPr>
    </w:p>
    <w:p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  <w:lang w:bidi="fa-IR"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5="http://schemas.microsoft.com/office/word/2012/wordml" xmlns:w16se="http://schemas.microsoft.com/office/word/2015/wordml/symex" xmlns:cx1="http://schemas.microsoft.com/office/drawing/2015/9/8/chartex" xmlns:cx="http://schemas.microsoft.com/office/drawing/2014/chart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10" o:title="index"/>
                </v:shape>
                <w10:anchorlock/>
              </v:group>
            </w:pict>
          </mc:Fallback>
        </mc:AlternateContent>
      </w:r>
    </w:p>
    <w:p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>
        <w:tc>
          <w:tcPr>
            <w:tcW w:w="5000" w:type="pct"/>
            <w:gridSpan w:val="6"/>
            <w:shd w:val="clear" w:color="auto" w:fill="E7E6E6" w:themeFill="background2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اطلاعات اولیه درس</w:t>
            </w:r>
          </w:p>
        </w:tc>
      </w:tr>
      <w:tr>
        <w:tc>
          <w:tcPr>
            <w:tcW w:w="954" w:type="pct"/>
            <w:shd w:val="clear" w:color="auto" w:fill="F2F2F2" w:themeFill="background1" w:themeFillShade="F2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 درس</w:t>
            </w:r>
          </w:p>
        </w:tc>
      </w:tr>
      <w:tr>
        <w:tc>
          <w:tcPr>
            <w:tcW w:w="954" w:type="pct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شناسایی و تهیه نقشه خاک</w:t>
            </w:r>
          </w:p>
        </w:tc>
        <w:tc>
          <w:tcPr>
            <w:tcW w:w="507" w:type="pct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کارشناسی </w:t>
            </w:r>
          </w:p>
        </w:tc>
        <w:tc>
          <w:tcPr>
            <w:tcW w:w="845" w:type="pct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کمال نبی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اللهی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شنبه 19-30/17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>
              <w:rPr>
                <w:rFonts w:hint="cs"/>
                <w:rtl/>
                <w:lang w:bidi="fa-IR"/>
              </w:rPr>
              <w:t xml:space="preserve"> اجباری </w:t>
            </w:r>
          </w:p>
          <w:p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 واحد نظری</w:t>
            </w:r>
          </w:p>
        </w:tc>
      </w:tr>
    </w:tbl>
    <w:p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>
        <w:tc>
          <w:tcPr>
            <w:tcW w:w="5000" w:type="pct"/>
            <w:shd w:val="clear" w:color="auto" w:fill="D9D9D9" w:themeFill="background1" w:themeFillShade="D9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 درس</w:t>
            </w:r>
          </w:p>
        </w:tc>
      </w:tr>
      <w:tr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>
        <w:trPr>
          <w:trHeight w:val="1340"/>
        </w:trPr>
        <w:tc>
          <w:tcPr>
            <w:tcW w:w="5000" w:type="pct"/>
          </w:tcPr>
          <w:p>
            <w:pPr>
              <w:ind w:firstLine="49"/>
              <w:jc w:val="both"/>
              <w:rPr>
                <w:rFonts w:eastAsia="Times New Roman" w:cs="B Lotus"/>
                <w:spacing w:val="4"/>
                <w:sz w:val="20"/>
                <w:szCs w:val="20"/>
                <w:rtl/>
              </w:rPr>
            </w:pPr>
            <w:r>
              <w:rPr>
                <w:rFonts w:eastAsia="Times New Roman" w:cs="B Lotus" w:hint="cs"/>
                <w:spacing w:val="4"/>
                <w:sz w:val="20"/>
                <w:szCs w:val="20"/>
                <w:rtl/>
              </w:rPr>
              <w:t>کارتوگرافی درس پیش</w:t>
            </w:r>
            <w:r>
              <w:rPr>
                <w:rFonts w:eastAsia="Times New Roman" w:cs="B Lotus"/>
                <w:spacing w:val="4"/>
                <w:sz w:val="20"/>
                <w:szCs w:val="20"/>
                <w:rtl/>
              </w:rPr>
              <w:softHyphen/>
            </w:r>
            <w:r>
              <w:rPr>
                <w:rFonts w:eastAsia="Times New Roman" w:cs="B Lotus" w:hint="cs"/>
                <w:spacing w:val="4"/>
                <w:sz w:val="20"/>
                <w:szCs w:val="20"/>
                <w:rtl/>
              </w:rPr>
              <w:t>نیاز می</w:t>
            </w:r>
            <w:r>
              <w:rPr>
                <w:rFonts w:eastAsia="Times New Roman" w:cs="B Lotus"/>
                <w:spacing w:val="4"/>
                <w:sz w:val="20"/>
                <w:szCs w:val="20"/>
                <w:rtl/>
              </w:rPr>
              <w:softHyphen/>
            </w:r>
            <w:r>
              <w:rPr>
                <w:rFonts w:eastAsia="Times New Roman" w:cs="B Lotus" w:hint="cs"/>
                <w:spacing w:val="4"/>
                <w:sz w:val="20"/>
                <w:szCs w:val="20"/>
                <w:rtl/>
              </w:rPr>
              <w:t xml:space="preserve">باشد. </w:t>
            </w:r>
          </w:p>
        </w:tc>
      </w:tr>
      <w:tr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>
        <w:trPr>
          <w:trHeight w:val="510"/>
        </w:trPr>
        <w:tc>
          <w:tcPr>
            <w:tcW w:w="5000" w:type="pct"/>
          </w:tcPr>
          <w:p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>
        <w:trPr>
          <w:trHeight w:val="780"/>
        </w:trPr>
        <w:tc>
          <w:tcPr>
            <w:tcW w:w="5000" w:type="pct"/>
          </w:tcPr>
          <w:p>
            <w:pPr>
              <w:ind w:firstLine="0"/>
              <w:rPr>
                <w:b/>
                <w:bCs/>
                <w:rtl/>
                <w:lang w:bidi="fa-IR"/>
              </w:rPr>
            </w:pPr>
          </w:p>
        </w:tc>
      </w:tr>
      <w:tr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>
        <w:trPr>
          <w:trHeight w:val="375"/>
        </w:trPr>
        <w:tc>
          <w:tcPr>
            <w:tcW w:w="5000" w:type="pct"/>
          </w:tcPr>
          <w:p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>
              <w:rPr>
                <w:rFonts w:hint="cs"/>
              </w:rPr>
              <w:sym w:font="Wingdings" w:char="F06E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کارعملی (آزمایشگاه یا کارگاه) </w:t>
            </w:r>
            <w:r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>
              <w:rPr>
                <w:rFonts w:hint="cs"/>
                <w:rtl/>
              </w:rPr>
              <w:t xml:space="preserve">نرم‌افزار </w:t>
            </w:r>
            <w:r>
              <w:rPr>
                <w:rFonts w:hint="cs"/>
              </w:rPr>
              <w:sym w:font="Wingdings" w:char="F06F"/>
            </w:r>
          </w:p>
        </w:tc>
      </w:tr>
      <w:tr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>
            <w:pPr>
              <w:jc w:val="center"/>
              <w:rPr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منابع درس</w:t>
            </w:r>
          </w:p>
        </w:tc>
      </w:tr>
      <w:tr>
        <w:trPr>
          <w:trHeight w:val="555"/>
        </w:trPr>
        <w:tc>
          <w:tcPr>
            <w:tcW w:w="5000" w:type="pct"/>
          </w:tcPr>
          <w:p>
            <w:pPr>
              <w:numPr>
                <w:ilvl w:val="0"/>
                <w:numId w:val="33"/>
              </w:numPr>
              <w:bidi w:val="0"/>
              <w:ind w:firstLine="49"/>
              <w:jc w:val="both"/>
              <w:rPr>
                <w:rFonts w:eastAsia="Times New Roman" w:cs="B Lotus"/>
                <w:spacing w:val="4"/>
                <w:sz w:val="20"/>
                <w:szCs w:val="20"/>
              </w:rPr>
            </w:pPr>
            <w:r>
              <w:rPr>
                <w:rFonts w:eastAsia="Times New Roman" w:cs="B Lotus"/>
                <w:spacing w:val="4"/>
                <w:sz w:val="20"/>
                <w:szCs w:val="20"/>
              </w:rPr>
              <w:t xml:space="preserve">Soil Survey Division Staff, 1993. Soil survey manual. United States Department of Agriculture handbook No. 18. </w:t>
            </w:r>
            <w:proofErr w:type="spellStart"/>
            <w:r>
              <w:rPr>
                <w:rFonts w:eastAsia="Times New Roman" w:cs="B Lotus"/>
                <w:spacing w:val="4"/>
                <w:sz w:val="20"/>
                <w:szCs w:val="20"/>
              </w:rPr>
              <w:t>Washangton</w:t>
            </w:r>
            <w:proofErr w:type="spellEnd"/>
            <w:r>
              <w:rPr>
                <w:rFonts w:eastAsia="Times New Roman" w:cs="B Lotus"/>
                <w:spacing w:val="4"/>
                <w:sz w:val="20"/>
                <w:szCs w:val="20"/>
              </w:rPr>
              <w:t>, DC: US Department of         Agriculture. Xix, 437p.</w:t>
            </w:r>
          </w:p>
          <w:p>
            <w:pPr>
              <w:numPr>
                <w:ilvl w:val="0"/>
                <w:numId w:val="33"/>
              </w:numPr>
              <w:bidi w:val="0"/>
              <w:ind w:firstLine="49"/>
              <w:jc w:val="both"/>
              <w:rPr>
                <w:rFonts w:eastAsia="Times New Roman" w:cs="B Lotus"/>
                <w:spacing w:val="4"/>
                <w:sz w:val="20"/>
                <w:szCs w:val="20"/>
              </w:rPr>
            </w:pPr>
            <w:proofErr w:type="spellStart"/>
            <w:r>
              <w:rPr>
                <w:rFonts w:eastAsia="Times New Roman" w:cs="B Lotus"/>
                <w:spacing w:val="4"/>
                <w:sz w:val="20"/>
                <w:szCs w:val="20"/>
              </w:rPr>
              <w:t>Wambeke</w:t>
            </w:r>
            <w:proofErr w:type="spellEnd"/>
            <w:r>
              <w:rPr>
                <w:rFonts w:eastAsia="Times New Roman" w:cs="B Lotus"/>
                <w:spacing w:val="4"/>
                <w:sz w:val="20"/>
                <w:szCs w:val="20"/>
              </w:rPr>
              <w:t xml:space="preserve">, A. and T. Forbes, eds. 1989. </w:t>
            </w:r>
            <w:proofErr w:type="spellStart"/>
            <w:r>
              <w:rPr>
                <w:rFonts w:eastAsia="Times New Roman" w:cs="B Lotus"/>
                <w:spacing w:val="4"/>
                <w:sz w:val="20"/>
                <w:szCs w:val="20"/>
              </w:rPr>
              <w:t>Gudlines</w:t>
            </w:r>
            <w:proofErr w:type="spellEnd"/>
            <w:r>
              <w:rPr>
                <w:rFonts w:eastAsia="Times New Roman" w:cs="B Lotus"/>
                <w:spacing w:val="4"/>
                <w:sz w:val="20"/>
                <w:szCs w:val="20"/>
              </w:rPr>
              <w:t xml:space="preserve"> for using Soil Taxonomy in the names of soil map units. SMSS Technical Monograph No. 10. Soil management Support Service: Washington, DC. 73p. </w:t>
            </w:r>
          </w:p>
          <w:p>
            <w:pPr>
              <w:bidi w:val="0"/>
              <w:ind w:firstLine="0"/>
              <w:jc w:val="both"/>
              <w:rPr>
                <w:rFonts w:eastAsia="Times New Roman" w:cs="B Lotus"/>
                <w:spacing w:val="4"/>
                <w:sz w:val="20"/>
                <w:szCs w:val="20"/>
                <w:rtl/>
              </w:rPr>
            </w:pPr>
          </w:p>
          <w:p>
            <w:pPr>
              <w:pStyle w:val="ListParagraph"/>
              <w:numPr>
                <w:ilvl w:val="0"/>
                <w:numId w:val="33"/>
              </w:numPr>
              <w:jc w:val="both"/>
              <w:rPr>
                <w:rFonts w:eastAsia="Times New Roman" w:cs="B Lotus"/>
                <w:spacing w:val="4"/>
                <w:sz w:val="20"/>
                <w:szCs w:val="20"/>
                <w:rtl/>
              </w:rPr>
            </w:pPr>
            <w:r>
              <w:rPr>
                <w:rFonts w:eastAsia="Times New Roman" w:cs="B Lotus" w:hint="cs"/>
                <w:spacing w:val="4"/>
                <w:sz w:val="20"/>
                <w:szCs w:val="20"/>
                <w:rtl/>
              </w:rPr>
              <w:t>شناسایی و نقشه برداری خاک، دکتر عیسی اسفندیاری پور و محسن باقری، انتشارات دانشگاه رفسنجان.</w:t>
            </w:r>
          </w:p>
          <w:p>
            <w:pPr>
              <w:pStyle w:val="ListParagraph"/>
              <w:numPr>
                <w:ilvl w:val="0"/>
                <w:numId w:val="33"/>
              </w:numPr>
              <w:jc w:val="both"/>
              <w:rPr>
                <w:rFonts w:eastAsia="Times New Roman" w:cs="B Lotus"/>
                <w:spacing w:val="4"/>
                <w:sz w:val="20"/>
                <w:szCs w:val="20"/>
                <w:rtl/>
              </w:rPr>
            </w:pPr>
            <w:r>
              <w:rPr>
                <w:rFonts w:eastAsia="Times New Roman" w:cs="B Lotus" w:hint="cs"/>
                <w:spacing w:val="4"/>
                <w:sz w:val="20"/>
                <w:szCs w:val="20"/>
                <w:rtl/>
              </w:rPr>
              <w:t>مبانی نقشه برداری خاک، دکتر محمد حسن صالحی و دکتر حسین خادمی، انتشارات جهاد دانشگاهی واحد صنعتی اصفهان</w:t>
            </w:r>
          </w:p>
        </w:tc>
      </w:tr>
    </w:tbl>
    <w:p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>
        <w:tc>
          <w:tcPr>
            <w:tcW w:w="5000" w:type="pct"/>
            <w:shd w:val="clear" w:color="auto" w:fill="D9D9D9" w:themeFill="background1" w:themeFillShade="D9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 درس</w:t>
            </w:r>
          </w:p>
        </w:tc>
      </w:tr>
      <w:tr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tl/>
                <w:lang w:bidi="fa-IR"/>
              </w:rPr>
            </w:pPr>
            <w:r>
              <w:rPr>
                <w:rFonts w:hint="cs"/>
                <w:rtl/>
              </w:rPr>
              <w:t>با مطالعه مورفولژی، فیزیکی، شیمیایی و حاصلخیزی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و تفسیر آنها برای استفاده های مختلف آشنا شوید؛</w:t>
            </w:r>
          </w:p>
          <w:p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تهیه نقشه خاک جهت ارائه توزیع جغرافیای خاکها در مکانهای مختلف را فرا بگیرید.</w:t>
            </w:r>
          </w:p>
          <w:p>
            <w:pPr>
              <w:autoSpaceDE w:val="0"/>
              <w:autoSpaceDN w:val="0"/>
              <w:adjustRightInd w:val="0"/>
              <w:spacing w:before="120"/>
              <w:ind w:left="1080" w:firstLine="0"/>
              <w:rPr>
                <w:rtl/>
                <w:lang w:bidi="fa-IR"/>
              </w:rPr>
            </w:pPr>
          </w:p>
        </w:tc>
      </w:tr>
      <w:tr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مهارت‌هایی (شغلی، تحصیلی) که دانشجو در پایان دوره فرا می‌گیرد</w:t>
            </w:r>
          </w:p>
        </w:tc>
      </w:tr>
      <w:tr>
        <w:trPr>
          <w:trHeight w:val="1530"/>
        </w:trPr>
        <w:tc>
          <w:tcPr>
            <w:tcW w:w="5000" w:type="pct"/>
          </w:tcPr>
          <w:p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تهیه نقشه خاک و تفسیر آن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برای استفاده های مختلف</w:t>
            </w:r>
          </w:p>
          <w:p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تفسیر عکس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 xml:space="preserve">هایی هوایی </w:t>
            </w:r>
          </w:p>
          <w:p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خواندن نقشه تپوگرافی و جداکردن تیپ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فیزیوگرافی بر روی آن</w:t>
            </w:r>
          </w:p>
          <w:p>
            <w:pPr>
              <w:jc w:val="left"/>
              <w:rPr>
                <w:b/>
                <w:bCs/>
                <w:rtl/>
                <w:lang w:bidi="fa-IR"/>
              </w:rPr>
            </w:pPr>
          </w:p>
        </w:tc>
      </w:tr>
    </w:tbl>
    <w:p>
      <w:pPr>
        <w:ind w:firstLine="0"/>
        <w:rPr>
          <w:rtl/>
          <w:lang w:bidi="fa-IR"/>
        </w:rPr>
      </w:pPr>
    </w:p>
    <w:p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2970"/>
        <w:gridCol w:w="6145"/>
      </w:tblGrid>
      <w:tr>
        <w:tc>
          <w:tcPr>
            <w:tcW w:w="5000" w:type="pct"/>
            <w:gridSpan w:val="3"/>
            <w:shd w:val="clear" w:color="auto" w:fill="D9D9D9" w:themeFill="background1" w:themeFillShade="D9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 درس</w:t>
            </w:r>
          </w:p>
        </w:tc>
      </w:tr>
      <w:tr>
        <w:tc>
          <w:tcPr>
            <w:tcW w:w="863" w:type="pct"/>
            <w:shd w:val="clear" w:color="auto" w:fill="F2F2F2" w:themeFill="background1" w:themeFillShade="F2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89" w:type="pct"/>
            <w:shd w:val="clear" w:color="auto" w:fill="F2F2F2" w:themeFill="background1" w:themeFillShade="F2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>
        <w:tc>
          <w:tcPr>
            <w:tcW w:w="863" w:type="pct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(15 ) نمره</w:t>
            </w:r>
          </w:p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شد.</w:t>
            </w:r>
          </w:p>
        </w:tc>
        <w:tc>
          <w:tcPr>
            <w:tcW w:w="1348" w:type="pct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</w:t>
            </w:r>
            <w:r>
              <w:rPr>
                <w:lang w:bidi="fa-IR"/>
              </w:rPr>
              <w:t xml:space="preserve"> </w:t>
            </w:r>
            <w:r>
              <w:rPr>
                <w:rFonts w:hint="cs"/>
                <w:lang w:bidi="fa-IR"/>
              </w:rPr>
              <w:sym w:font="Wingdings" w:char="F0FE"/>
            </w:r>
            <w:r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4 نمره</w:t>
            </w:r>
          </w:p>
          <w:p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در هفته اول تاریخ و سرفصل‌های امتحانات میان‌ترم تعیین خواهد شد.</w:t>
            </w:r>
          </w:p>
        </w:tc>
        <w:tc>
          <w:tcPr>
            <w:tcW w:w="2789" w:type="pct"/>
          </w:tcPr>
          <w:p>
            <w:pPr>
              <w:ind w:firstLine="0"/>
              <w:jc w:val="both"/>
              <w:rPr>
                <w:rtl/>
                <w:lang w:bidi="fa-IR"/>
              </w:rPr>
            </w:pPr>
          </w:p>
          <w:p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حل‌تمرین1 نمره</w:t>
            </w:r>
          </w:p>
          <w:p>
            <w:pPr>
              <w:ind w:firstLine="0"/>
              <w:jc w:val="both"/>
              <w:rPr>
                <w:rtl/>
                <w:lang w:bidi="fa-IR"/>
              </w:rPr>
            </w:pPr>
          </w:p>
        </w:tc>
      </w:tr>
    </w:tbl>
    <w:p>
      <w:pPr>
        <w:ind w:firstLine="0"/>
        <w:rPr>
          <w:lang w:bidi="fa-IR"/>
        </w:rPr>
      </w:pPr>
    </w:p>
    <w:p>
      <w:pPr>
        <w:ind w:firstLine="0"/>
        <w:rPr>
          <w:rtl/>
          <w:lang w:bidi="fa-IR"/>
        </w:rPr>
      </w:pPr>
    </w:p>
    <w:p>
      <w:pPr>
        <w:ind w:firstLine="0"/>
        <w:rPr>
          <w:rtl/>
          <w:lang w:bidi="fa-IR"/>
        </w:rPr>
      </w:pPr>
    </w:p>
    <w:p>
      <w:pPr>
        <w:ind w:firstLine="0"/>
        <w:rPr>
          <w:rtl/>
          <w:lang w:bidi="fa-IR"/>
        </w:rPr>
      </w:pPr>
    </w:p>
    <w:p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>
        <w:tc>
          <w:tcPr>
            <w:tcW w:w="5000" w:type="pct"/>
          </w:tcPr>
          <w:p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lastRenderedPageBreak/>
              <w:t>سایر نکات</w:t>
            </w:r>
          </w:p>
        </w:tc>
      </w:tr>
      <w:tr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>
        <w:trPr>
          <w:trHeight w:val="735"/>
        </w:trPr>
        <w:tc>
          <w:tcPr>
            <w:tcW w:w="5000" w:type="pct"/>
            <w:vAlign w:val="center"/>
          </w:tcPr>
          <w:p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1" w:history="1">
              <w:r>
                <w:rPr>
                  <w:rStyle w:val="Hyperlink"/>
                  <w:b/>
                  <w:bCs/>
                </w:rPr>
                <w:t>k.nabiollahi@uok.ac.ir</w:t>
              </w:r>
            </w:hyperlink>
          </w:p>
          <w:p>
            <w:pPr>
              <w:ind w:firstLine="0"/>
              <w:jc w:val="left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 xml:space="preserve">آدرس صفحه ای که منابع و تکالیف قرار می‌گیرند                                                             </w:t>
            </w:r>
            <w:r>
              <w:rPr>
                <w:rFonts w:eastAsia="Calibri"/>
                <w:b/>
                <w:bCs/>
              </w:rPr>
              <w:t xml:space="preserve"> http://agri.uok.ac.ir/nabiollahy_k</w:t>
            </w:r>
          </w:p>
        </w:tc>
      </w:tr>
      <w:tr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>
            <w:pPr>
              <w:ind w:firstLine="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ساعت مراجعه دفتری و رفع اشکال</w:t>
            </w:r>
          </w:p>
        </w:tc>
      </w:tr>
      <w:tr>
        <w:trPr>
          <w:trHeight w:val="750"/>
        </w:trPr>
        <w:tc>
          <w:tcPr>
            <w:tcW w:w="5000" w:type="pct"/>
          </w:tcPr>
          <w:p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</w:rPr>
              <w:t>یکشنبه ها و سه شنبه ها 12-14</w:t>
            </w:r>
          </w:p>
          <w:p>
            <w:pPr>
              <w:ind w:firstLine="0"/>
              <w:rPr>
                <w:rtl/>
              </w:rPr>
            </w:pPr>
            <w:r>
              <w:rPr>
                <w:rFonts w:hint="cs"/>
                <w:rtl/>
              </w:rPr>
              <w:t>دوشنبه ها  10-14</w:t>
            </w:r>
          </w:p>
          <w:p>
            <w:pPr>
              <w:ind w:firstLine="0"/>
              <w:rPr>
                <w:b/>
                <w:bCs/>
              </w:rPr>
            </w:pPr>
            <w:r>
              <w:rPr>
                <w:rFonts w:hint="cs"/>
                <w:rtl/>
              </w:rPr>
              <w:t>چهارشنبه ها 10-14</w:t>
            </w:r>
          </w:p>
        </w:tc>
      </w:tr>
      <w:tr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>
        <w:trPr>
          <w:trHeight w:val="975"/>
        </w:trPr>
        <w:tc>
          <w:tcPr>
            <w:tcW w:w="5000" w:type="pct"/>
          </w:tcPr>
          <w:p>
            <w:pPr>
              <w:ind w:firstLine="0"/>
              <w:jc w:val="left"/>
              <w:rPr>
                <w:szCs w:val="22"/>
                <w:rtl/>
                <w:lang w:bidi="fa-IR"/>
              </w:rPr>
            </w:pPr>
            <w:r>
              <w:rPr>
                <w:rFonts w:hint="cs"/>
                <w:szCs w:val="22"/>
                <w:rtl/>
                <w:lang w:bidi="fa-IR"/>
              </w:rPr>
              <w:t>تمرین های هر جلسه در جلسه آتی کلاس حل خواهند شد.</w:t>
            </w:r>
          </w:p>
        </w:tc>
      </w:tr>
      <w:tr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>
        <w:trPr>
          <w:trHeight w:val="405"/>
        </w:trPr>
        <w:tc>
          <w:tcPr>
            <w:tcW w:w="5000" w:type="pct"/>
          </w:tcPr>
          <w:p>
            <w:pPr>
              <w:pStyle w:val="ListParagraph"/>
              <w:numPr>
                <w:ilvl w:val="0"/>
                <w:numId w:val="22"/>
              </w:numPr>
              <w:ind w:left="452" w:hanging="284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</w:tc>
      </w:tr>
      <w:tr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>
        <w:trPr>
          <w:trHeight w:val="975"/>
        </w:trPr>
        <w:tc>
          <w:tcPr>
            <w:tcW w:w="5000" w:type="pct"/>
          </w:tcPr>
          <w:p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تعیین شده کلاسی باید در محدوده زمانی مقرر تحویل شوند.</w:t>
            </w:r>
          </w:p>
        </w:tc>
      </w:tr>
    </w:tbl>
    <w:p>
      <w:pPr>
        <w:ind w:firstLine="0"/>
        <w:rPr>
          <w:rtl/>
          <w:lang w:bidi="fa-IR"/>
        </w:rPr>
      </w:pPr>
    </w:p>
    <w:p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1745"/>
        <w:gridCol w:w="3124"/>
        <w:gridCol w:w="551"/>
      </w:tblGrid>
      <w:tr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زمان‌بندی هفتگی</w:t>
            </w:r>
          </w:p>
          <w:p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سرفصل‌ها باید برای 15 هفته تنظیم شوند. هر هفته ممکن است شامل 1 جلسه یا بیشتر باشد.</w:t>
            </w:r>
          </w:p>
          <w:p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>نام سرفصل‌ها و شماره فصول یا محدوده صفحات کتب منبع آورده شود.</w:t>
            </w:r>
          </w:p>
          <w:p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منظور از تکلیف، گزارش کار (آزمایشگاه یا کارگاه)، حل تمرین، پروژه کلاسی، جمع‌آوری داده، ترجمه، ارائه گزارش از مقالات علمی مرتبط و غیره است.</w:t>
            </w:r>
          </w:p>
          <w:p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 یا میزان نمره یا تعداد سؤال  مورد انتظار از این سرفصل در امتحان، درج شود.</w:t>
            </w:r>
          </w:p>
        </w:tc>
      </w:tr>
      <w:tr>
        <w:tc>
          <w:tcPr>
            <w:tcW w:w="344" w:type="pct"/>
            <w:shd w:val="clear" w:color="auto" w:fill="F2F2F2" w:themeFill="background1" w:themeFillShade="F2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49" w:type="pct"/>
            <w:shd w:val="clear" w:color="auto" w:fill="F2F2F2" w:themeFill="background1" w:themeFillShade="F2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>
        <w:trPr>
          <w:trHeight w:val="1745"/>
        </w:trPr>
        <w:tc>
          <w:tcPr>
            <w:tcW w:w="344" w:type="pct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>
            <w:pPr>
              <w:pStyle w:val="ListParagraph"/>
              <w:autoSpaceDE w:val="0"/>
              <w:autoSpaceDN w:val="0"/>
              <w:adjustRightInd w:val="0"/>
              <w:spacing w:before="120"/>
              <w:ind w:left="0" w:firstLine="0"/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- تعریف خاک از دیدگاههای مختلف، پدون، پلی پدون، خاکفرد، امتداد خاک، عوامل موثر بر پراکنش خاکها</w:t>
            </w:r>
          </w:p>
          <w:p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-فصل 1 از منبع 4</w:t>
            </w:r>
          </w:p>
        </w:tc>
        <w:tc>
          <w:tcPr>
            <w:tcW w:w="792" w:type="pct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-</w:t>
            </w:r>
          </w:p>
        </w:tc>
        <w:tc>
          <w:tcPr>
            <w:tcW w:w="1418" w:type="pct"/>
            <w:vAlign w:val="center"/>
          </w:tcPr>
          <w:p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>
        <w:tc>
          <w:tcPr>
            <w:tcW w:w="344" w:type="pct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2</w:t>
            </w:r>
          </w:p>
        </w:tc>
        <w:tc>
          <w:tcPr>
            <w:tcW w:w="2196" w:type="pct"/>
            <w:vAlign w:val="center"/>
          </w:tcPr>
          <w:p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>
            <w:pPr>
              <w:pStyle w:val="ListParagraph"/>
              <w:autoSpaceDE w:val="0"/>
              <w:autoSpaceDN w:val="0"/>
              <w:adjustRightInd w:val="0"/>
              <w:spacing w:before="120"/>
              <w:ind w:left="0" w:firstLine="0"/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 xml:space="preserve">- </w:t>
            </w:r>
            <w:r>
              <w:rPr>
                <w:rFonts w:hint="cs"/>
                <w:sz w:val="24"/>
                <w:szCs w:val="24"/>
                <w:rtl/>
              </w:rPr>
              <w:t>تعاریف مختلف شناسایی خاک، شناسایی پاسخگویی چه پرسشهایی است؟، انواع شناسایی خاک و کاربران شناسایی خاک</w:t>
            </w:r>
          </w:p>
          <w:p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-فصل 2 از منبع 5</w:t>
            </w:r>
          </w:p>
        </w:tc>
        <w:tc>
          <w:tcPr>
            <w:tcW w:w="792" w:type="pct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>
        <w:tc>
          <w:tcPr>
            <w:tcW w:w="344" w:type="pct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</w:rPr>
              <w:t>- روشهایی تفکیک واحدهای خاک، کشیدن مرزها و روشهای آن، طبیعت مرزها</w:t>
            </w:r>
          </w:p>
          <w:p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-فصل 3 از منبع 5</w:t>
            </w:r>
          </w:p>
        </w:tc>
        <w:tc>
          <w:tcPr>
            <w:tcW w:w="792" w:type="pct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تمرین</w:t>
            </w:r>
          </w:p>
        </w:tc>
        <w:tc>
          <w:tcPr>
            <w:tcW w:w="1418" w:type="pct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>
        <w:tc>
          <w:tcPr>
            <w:tcW w:w="344" w:type="pct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مقیاس نقشه و مفاهیم مربوط به آن، دقت کاتوگرافی و دقت طبقه بندی، انواع نقشه های خاک</w:t>
            </w:r>
          </w:p>
          <w:p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-فصل 4 از منبع 5</w:t>
            </w:r>
          </w:p>
        </w:tc>
        <w:tc>
          <w:tcPr>
            <w:tcW w:w="792" w:type="pct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>
        <w:tc>
          <w:tcPr>
            <w:tcW w:w="344" w:type="pct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>
            <w:pPr>
              <w:pStyle w:val="ListParagraph"/>
              <w:autoSpaceDE w:val="0"/>
              <w:autoSpaceDN w:val="0"/>
              <w:adjustRightInd w:val="0"/>
              <w:spacing w:before="120"/>
              <w:ind w:left="0" w:firstLine="0"/>
              <w:rPr>
                <w:sz w:val="24"/>
                <w:szCs w:val="24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- </w:t>
            </w:r>
            <w:r>
              <w:rPr>
                <w:rFonts w:hint="cs"/>
                <w:sz w:val="24"/>
                <w:szCs w:val="24"/>
                <w:rtl/>
              </w:rPr>
              <w:t>روشهای  مختلف نقشه برداری خاک، ناخالصی ها و انواع آن،</w:t>
            </w:r>
          </w:p>
          <w:p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-فصل 4 از منبع 5</w:t>
            </w:r>
          </w:p>
        </w:tc>
        <w:tc>
          <w:tcPr>
            <w:tcW w:w="792" w:type="pct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>
        <w:tc>
          <w:tcPr>
            <w:tcW w:w="344" w:type="pct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>
            <w:pPr>
              <w:pStyle w:val="ListParagraph"/>
              <w:autoSpaceDE w:val="0"/>
              <w:autoSpaceDN w:val="0"/>
              <w:adjustRightInd w:val="0"/>
              <w:spacing w:before="120"/>
              <w:ind w:left="0" w:firstLine="0"/>
              <w:rPr>
                <w:sz w:val="24"/>
                <w:szCs w:val="24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</w:t>
            </w:r>
            <w:r>
              <w:rPr>
                <w:rFonts w:hint="cs"/>
                <w:sz w:val="24"/>
                <w:szCs w:val="24"/>
                <w:rtl/>
              </w:rPr>
              <w:t xml:space="preserve"> واحد نقشه خاک و انواع آن، اصول نامگذاری واحدهای نقشه</w:t>
            </w:r>
          </w:p>
          <w:p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-فصل 4 از منبع 5</w:t>
            </w:r>
          </w:p>
        </w:tc>
        <w:tc>
          <w:tcPr>
            <w:tcW w:w="792" w:type="pct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تمرین</w:t>
            </w:r>
          </w:p>
        </w:tc>
        <w:tc>
          <w:tcPr>
            <w:tcW w:w="1418" w:type="pct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>
        <w:tc>
          <w:tcPr>
            <w:tcW w:w="344" w:type="pct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 مقایسه واحدهای رده بندی و نقشه برداری، انواع رده های شناسایی خاک</w:t>
            </w:r>
          </w:p>
          <w:p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-فصل 4 از منبع 5</w:t>
            </w:r>
          </w:p>
        </w:tc>
        <w:tc>
          <w:tcPr>
            <w:tcW w:w="792" w:type="pct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>
        <w:tc>
          <w:tcPr>
            <w:tcW w:w="344" w:type="pct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lastRenderedPageBreak/>
              <w:t xml:space="preserve">فاز و انواع آن، چگونگی کاربرد اسامی فازها </w:t>
            </w:r>
          </w:p>
          <w:p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-فصل 5 از منبع 5</w:t>
            </w:r>
          </w:p>
        </w:tc>
        <w:tc>
          <w:tcPr>
            <w:tcW w:w="792" w:type="pct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>
        <w:tc>
          <w:tcPr>
            <w:tcW w:w="344" w:type="pct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9</w:t>
            </w:r>
          </w:p>
          <w:p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 راهنمای نقشه، گروه بندی واحدهای نقشه موجود در راهنما، شرح واحد نقشه، تفسیر شناسایی خاک</w:t>
            </w:r>
          </w:p>
          <w:p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-فصل 6 از منبع 5</w:t>
            </w:r>
          </w:p>
        </w:tc>
        <w:tc>
          <w:tcPr>
            <w:tcW w:w="792" w:type="pct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تمرین</w:t>
            </w:r>
          </w:p>
        </w:tc>
        <w:tc>
          <w:tcPr>
            <w:tcW w:w="1418" w:type="pct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>
        <w:tc>
          <w:tcPr>
            <w:tcW w:w="344" w:type="pct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 حداکثر دقت موضعی، حداقل محدوده قابل ترسیم، حدال مساحت قابل تفکیک، محدوده قابل ترسیم بهینه، محدوده قابل تفکیک بهینه</w:t>
            </w:r>
          </w:p>
          <w:p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>
              <w:rPr>
                <w:rFonts w:ascii="TimesNewRoman,Bold" w:hAnsi="TimesNewRoman,Bold" w:hint="cs"/>
                <w:rtl/>
                <w:lang w:bidi="fa-IR"/>
              </w:rPr>
              <w:t>فص</w:t>
            </w:r>
            <w:r>
              <w:rPr>
                <w:rFonts w:hint="cs"/>
                <w:rtl/>
                <w:lang w:bidi="fa-IR"/>
              </w:rPr>
              <w:t>ل 4 از منبع 5</w:t>
            </w:r>
          </w:p>
        </w:tc>
        <w:tc>
          <w:tcPr>
            <w:tcW w:w="792" w:type="pct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>
        <w:tc>
          <w:tcPr>
            <w:tcW w:w="344" w:type="pct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 تراکم نمونه برداری خاک، ایده ال، لازم و حقیقی</w:t>
            </w:r>
          </w:p>
          <w:p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-فصل 6 از منبع 4</w:t>
            </w:r>
          </w:p>
        </w:tc>
        <w:tc>
          <w:tcPr>
            <w:tcW w:w="792" w:type="pct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>
        <w:tc>
          <w:tcPr>
            <w:tcW w:w="344" w:type="pct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گزارش شناسایی خاک، شرح واحدهای شناسایی خاک، </w:t>
            </w:r>
            <w:r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 xml:space="preserve"> </w:t>
            </w:r>
          </w:p>
          <w:p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  <w:p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-فصل 6 از منبع 5</w:t>
            </w:r>
          </w:p>
        </w:tc>
        <w:tc>
          <w:tcPr>
            <w:tcW w:w="792" w:type="pct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تمرین</w:t>
            </w:r>
          </w:p>
        </w:tc>
        <w:tc>
          <w:tcPr>
            <w:tcW w:w="1418" w:type="pct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>
        <w:tc>
          <w:tcPr>
            <w:tcW w:w="344" w:type="pct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 مقیاس طبیعی و تصمیم گیری، کنترل کیفیت واحدهای نقشه خاک</w:t>
            </w:r>
          </w:p>
          <w:p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-فصل 4 از منبع 5</w:t>
            </w:r>
          </w:p>
        </w:tc>
        <w:tc>
          <w:tcPr>
            <w:tcW w:w="792" w:type="pct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>
        <w:tc>
          <w:tcPr>
            <w:tcW w:w="344" w:type="pct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روش های نمونه برداری جهت ارزیابی اماری واحدهای نقشه، آزمون تی</w:t>
            </w:r>
          </w:p>
          <w:p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روشهای کمی جهت آزمون کیفیت نقشه خاک</w:t>
            </w:r>
          </w:p>
          <w:p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-فصل 7 از منبع 5</w:t>
            </w:r>
          </w:p>
        </w:tc>
        <w:tc>
          <w:tcPr>
            <w:tcW w:w="792" w:type="pct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>
        <w:tc>
          <w:tcPr>
            <w:tcW w:w="344" w:type="pct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 w:cs="Times New Roman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lastRenderedPageBreak/>
              <w:t xml:space="preserve">آزمون </w:t>
            </w:r>
            <w:r>
              <w:rPr>
                <w:rFonts w:ascii="TimesNewRoman,Bold" w:hAnsi="TimesNewRoman,Bold"/>
                <w:lang w:bidi="fa-IR"/>
              </w:rPr>
              <w:t>F</w:t>
            </w:r>
            <w:r>
              <w:rPr>
                <w:rFonts w:ascii="TimesNewRoman,Bold" w:hAnsi="TimesNewRoman,Bold" w:hint="cs"/>
                <w:rtl/>
                <w:lang w:bidi="fa-IR"/>
              </w:rPr>
              <w:t>، شاخص کاپا، مقایسه مطالعات خاکشناسی ایران با سایر کشورها</w:t>
            </w:r>
          </w:p>
          <w:p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-</w:t>
            </w:r>
            <w:r>
              <w:rPr>
                <w:rFonts w:hint="cs"/>
                <w:rtl/>
                <w:lang w:bidi="fa-IR"/>
              </w:rPr>
              <w:t xml:space="preserve"> </w:t>
            </w:r>
            <w:bookmarkStart w:id="0" w:name="_GoBack"/>
            <w:r>
              <w:rPr>
                <w:rFonts w:ascii="TimesNewRoman,Bold" w:hAnsi="TimesNewRoman,Bold" w:hint="cs"/>
                <w:rtl/>
                <w:lang w:bidi="fa-IR"/>
              </w:rPr>
              <w:t>فصل 7 از منبع 5</w:t>
            </w:r>
            <w:bookmarkEnd w:id="0"/>
          </w:p>
        </w:tc>
        <w:tc>
          <w:tcPr>
            <w:tcW w:w="792" w:type="pct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</w:tbl>
    <w:p>
      <w:pPr>
        <w:ind w:firstLine="0"/>
        <w:rPr>
          <w:rtl/>
          <w:lang w:bidi="fa-IR"/>
        </w:rPr>
      </w:pPr>
    </w:p>
    <w:sectPr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pPr>
        <w:spacing w:after="0"/>
      </w:pPr>
      <w:r>
        <w:separator/>
      </w:r>
    </w:p>
  </w:endnote>
  <w:endnote w:type="continuationSeparator" w:id="0">
    <w:p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  <w:rtl/>
          </w:rPr>
          <w:t>6</w:t>
        </w:r>
        <w:r>
          <w:rPr>
            <w:noProof/>
          </w:rPr>
          <w:fldChar w:fldCharType="end"/>
        </w:r>
      </w:p>
    </w:sdtContent>
  </w:sdt>
  <w:p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pPr>
        <w:spacing w:after="0"/>
      </w:pPr>
      <w:r>
        <w:separator/>
      </w:r>
    </w:p>
  </w:footnote>
  <w:footnote w:type="continuationSeparator" w:id="0">
    <w:p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1662D"/>
    <w:multiLevelType w:val="hybridMultilevel"/>
    <w:tmpl w:val="31783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A8243D4"/>
    <w:multiLevelType w:val="hybridMultilevel"/>
    <w:tmpl w:val="F3048AE4"/>
    <w:lvl w:ilvl="0" w:tplc="7F6CD132">
      <w:start w:val="1"/>
      <w:numFmt w:val="decimal"/>
      <w:lvlText w:val="%1-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B914209"/>
    <w:multiLevelType w:val="hybridMultilevel"/>
    <w:tmpl w:val="2C808116"/>
    <w:lvl w:ilvl="0" w:tplc="B600C4D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40C30F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9D2ED2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C0553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B0241A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63053D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6B8EA9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B823FC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B64050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2E6510E"/>
    <w:multiLevelType w:val="hybridMultilevel"/>
    <w:tmpl w:val="697E6E8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37B2686F"/>
    <w:multiLevelType w:val="hybridMultilevel"/>
    <w:tmpl w:val="ABE8593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9632DE"/>
    <w:multiLevelType w:val="hybridMultilevel"/>
    <w:tmpl w:val="5C48B378"/>
    <w:lvl w:ilvl="0" w:tplc="E638A0C6">
      <w:start w:val="1"/>
      <w:numFmt w:val="bullet"/>
      <w:lvlText w:val="-"/>
      <w:lvlJc w:val="left"/>
      <w:pPr>
        <w:ind w:left="445" w:hanging="360"/>
      </w:pPr>
      <w:rPr>
        <w:rFonts w:ascii="Times New Roman" w:eastAsiaTheme="minorHAnsi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1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5" w:hanging="360"/>
      </w:pPr>
      <w:rPr>
        <w:rFonts w:ascii="Wingdings" w:hAnsi="Wingdings" w:hint="default"/>
      </w:rPr>
    </w:lvl>
  </w:abstractNum>
  <w:abstractNum w:abstractNumId="11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13A0DA4"/>
    <w:multiLevelType w:val="hybridMultilevel"/>
    <w:tmpl w:val="CF14DC1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6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58102E45"/>
    <w:multiLevelType w:val="hybridMultilevel"/>
    <w:tmpl w:val="05CEF9B4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8FD1ABF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64FC6598"/>
    <w:multiLevelType w:val="hybridMultilevel"/>
    <w:tmpl w:val="EFF88076"/>
    <w:lvl w:ilvl="0" w:tplc="09CE5D4E">
      <w:start w:val="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69C41CD"/>
    <w:multiLevelType w:val="hybridMultilevel"/>
    <w:tmpl w:val="3B30F8C6"/>
    <w:lvl w:ilvl="0" w:tplc="54D62C6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A469B3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2A2452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3CD48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DE0C52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D16711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AB289D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B5E891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4DAB97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8"/>
  </w:num>
  <w:num w:numId="3">
    <w:abstractNumId w:val="8"/>
  </w:num>
  <w:num w:numId="4">
    <w:abstractNumId w:val="8"/>
  </w:num>
  <w:num w:numId="5">
    <w:abstractNumId w:val="8"/>
  </w:num>
  <w:num w:numId="6">
    <w:abstractNumId w:val="8"/>
  </w:num>
  <w:num w:numId="7">
    <w:abstractNumId w:val="8"/>
  </w:num>
  <w:num w:numId="8">
    <w:abstractNumId w:val="8"/>
  </w:num>
  <w:num w:numId="9">
    <w:abstractNumId w:val="6"/>
  </w:num>
  <w:num w:numId="10">
    <w:abstractNumId w:val="16"/>
  </w:num>
  <w:num w:numId="11">
    <w:abstractNumId w:val="20"/>
  </w:num>
  <w:num w:numId="12">
    <w:abstractNumId w:val="12"/>
  </w:num>
  <w:num w:numId="13">
    <w:abstractNumId w:val="3"/>
  </w:num>
  <w:num w:numId="14">
    <w:abstractNumId w:val="5"/>
  </w:num>
  <w:num w:numId="15">
    <w:abstractNumId w:val="1"/>
  </w:num>
  <w:num w:numId="16">
    <w:abstractNumId w:val="11"/>
  </w:num>
  <w:num w:numId="17">
    <w:abstractNumId w:val="17"/>
  </w:num>
  <w:num w:numId="18">
    <w:abstractNumId w:val="27"/>
  </w:num>
  <w:num w:numId="19">
    <w:abstractNumId w:val="25"/>
  </w:num>
  <w:num w:numId="20">
    <w:abstractNumId w:val="22"/>
  </w:num>
  <w:num w:numId="21">
    <w:abstractNumId w:val="14"/>
  </w:num>
  <w:num w:numId="22">
    <w:abstractNumId w:val="15"/>
  </w:num>
  <w:num w:numId="23">
    <w:abstractNumId w:val="21"/>
  </w:num>
  <w:num w:numId="24">
    <w:abstractNumId w:val="26"/>
  </w:num>
  <w:num w:numId="25">
    <w:abstractNumId w:val="0"/>
  </w:num>
  <w:num w:numId="26">
    <w:abstractNumId w:val="18"/>
  </w:num>
  <w:num w:numId="27">
    <w:abstractNumId w:val="13"/>
  </w:num>
  <w:num w:numId="28">
    <w:abstractNumId w:val="19"/>
  </w:num>
  <w:num w:numId="29">
    <w:abstractNumId w:val="10"/>
  </w:num>
  <w:num w:numId="30">
    <w:abstractNumId w:val="9"/>
  </w:num>
  <w:num w:numId="31">
    <w:abstractNumId w:val="23"/>
  </w:num>
  <w:num w:numId="32">
    <w:abstractNumId w:val="7"/>
  </w:num>
  <w:num w:numId="33">
    <w:abstractNumId w:val="2"/>
  </w:num>
  <w:num w:numId="34">
    <w:abstractNumId w:val="24"/>
  </w:num>
  <w:num w:numId="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Y1NjU0MzOzMDAwNbJU0lEKTi0uzszPAykwqQUAPcRVRywAAAA=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NormalWeb">
    <w:name w:val="Normal (Web)"/>
    <w:basedOn w:val="Normal"/>
    <w:uiPriority w:val="99"/>
    <w:unhideWhenUsed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NormalWeb">
    <w:name w:val="Normal (Web)"/>
    <w:basedOn w:val="Normal"/>
    <w:uiPriority w:val="99"/>
    <w:unhideWhenUsed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6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8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48826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66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51359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5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948549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56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8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53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579148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31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97091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30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88131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k.nabiollahi@uok.ac.ir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45BFE5-32B1-42A7-9017-05750B407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6</Pages>
  <Words>712</Words>
  <Characters>4064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</Company>
  <LinksUpToDate>false</LinksUpToDate>
  <CharactersWithSpaces>4767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Farvaresh</dc:creator>
  <cp:lastModifiedBy>che</cp:lastModifiedBy>
  <cp:revision>74</cp:revision>
  <dcterms:created xsi:type="dcterms:W3CDTF">2018-10-15T21:34:00Z</dcterms:created>
  <dcterms:modified xsi:type="dcterms:W3CDTF">2018-10-20T13:40:00Z</dcterms:modified>
</cp:coreProperties>
</file>