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8D" w:rsidRPr="003B44BB" w:rsidRDefault="005B6CE2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B39874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212865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بهینه سازی </w:t>
            </w:r>
            <w:r w:rsidR="00192BB6">
              <w:rPr>
                <w:rFonts w:hint="cs"/>
                <w:sz w:val="20"/>
                <w:rtl/>
                <w:lang w:bidi="fa-IR"/>
              </w:rPr>
              <w:t xml:space="preserve">خطی </w:t>
            </w:r>
            <w:r>
              <w:rPr>
                <w:rFonts w:hint="cs"/>
                <w:sz w:val="20"/>
                <w:rtl/>
                <w:lang w:bidi="fa-IR"/>
              </w:rPr>
              <w:t>پیشرفته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10C28" w:rsidP="00212865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شنیه </w:t>
            </w:r>
            <w:r w:rsidR="00212865">
              <w:rPr>
                <w:rFonts w:hint="cs"/>
                <w:sz w:val="20"/>
                <w:rtl/>
                <w:lang w:bidi="fa-IR"/>
              </w:rPr>
              <w:t>16</w:t>
            </w:r>
            <w:r>
              <w:rPr>
                <w:rFonts w:hint="cs"/>
                <w:sz w:val="20"/>
                <w:rtl/>
                <w:lang w:bidi="fa-IR"/>
              </w:rPr>
              <w:t>-1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 w:rsidR="00212865">
              <w:rPr>
                <w:rFonts w:hint="cs"/>
                <w:sz w:val="20"/>
                <w:rtl/>
                <w:lang w:bidi="fa-IR"/>
              </w:rPr>
              <w:t>یک</w:t>
            </w:r>
            <w:r w:rsidR="00212865">
              <w:rPr>
                <w:sz w:val="20"/>
                <w:rtl/>
                <w:lang w:bidi="fa-IR"/>
              </w:rPr>
              <w:softHyphen/>
            </w:r>
            <w:r>
              <w:rPr>
                <w:rFonts w:hint="cs"/>
                <w:sz w:val="20"/>
                <w:rtl/>
                <w:lang w:bidi="fa-IR"/>
              </w:rPr>
              <w:t>شنبه 1</w:t>
            </w:r>
            <w:r w:rsidR="00212865">
              <w:rPr>
                <w:rFonts w:hint="cs"/>
                <w:sz w:val="20"/>
                <w:rtl/>
                <w:lang w:bidi="fa-IR"/>
              </w:rPr>
              <w:t>8</w:t>
            </w:r>
            <w:r>
              <w:rPr>
                <w:rFonts w:hint="cs"/>
                <w:sz w:val="20"/>
                <w:rtl/>
                <w:lang w:bidi="fa-IR"/>
              </w:rPr>
              <w:t>-</w:t>
            </w:r>
            <w:r w:rsidR="00212865">
              <w:rPr>
                <w:rFonts w:hint="cs"/>
                <w:sz w:val="20"/>
                <w:rtl/>
                <w:lang w:bidi="fa-IR"/>
              </w:rPr>
              <w:t>20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خطی دوره کارشناسی</w:t>
            </w:r>
          </w:p>
          <w:p w:rsidR="00FC58F8" w:rsidRP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 خطی دوره کارشناسی</w:t>
            </w:r>
          </w:p>
          <w:p w:rsid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آنالیز عددی</w:t>
            </w:r>
          </w:p>
          <w:p w:rsidR="00D60A58" w:rsidRPr="00FC58F8" w:rsidRDefault="00D60A58" w:rsidP="00D60A58">
            <w:pPr>
              <w:ind w:left="792"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متلب</w:t>
            </w:r>
          </w:p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ایمز</w:t>
            </w:r>
          </w:p>
          <w:p w:rsidR="00FC58F8" w:rsidRPr="00D60A58" w:rsidRDefault="00212865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گمز</w:t>
            </w: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212865" w:rsidRDefault="00212865" w:rsidP="00010C28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 w:rsidRPr="00010C28">
              <w:rPr>
                <w:lang w:bidi="fa-IR"/>
              </w:rPr>
              <w:t>Bazaraa</w:t>
            </w:r>
            <w:proofErr w:type="spellEnd"/>
            <w:r w:rsidRPr="00010C28">
              <w:rPr>
                <w:lang w:bidi="fa-IR"/>
              </w:rPr>
              <w:t xml:space="preserve">, M. S., </w:t>
            </w:r>
            <w:proofErr w:type="spellStart"/>
            <w:r w:rsidRPr="00010C28">
              <w:rPr>
                <w:lang w:bidi="fa-IR"/>
              </w:rPr>
              <w:t>Hanif</w:t>
            </w:r>
            <w:proofErr w:type="spellEnd"/>
            <w:r w:rsidRPr="00010C28">
              <w:rPr>
                <w:lang w:bidi="fa-IR"/>
              </w:rPr>
              <w:t xml:space="preserve">, J. J., and </w:t>
            </w:r>
            <w:proofErr w:type="spellStart"/>
            <w:r w:rsidRPr="00010C28">
              <w:rPr>
                <w:lang w:bidi="fa-IR"/>
              </w:rPr>
              <w:t>Sherali</w:t>
            </w:r>
            <w:proofErr w:type="spellEnd"/>
            <w:r w:rsidRPr="00010C28">
              <w:rPr>
                <w:lang w:bidi="fa-IR"/>
              </w:rPr>
              <w:t>, H. D. Linear Programming and</w:t>
            </w:r>
            <w:r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Network Flows, John Wiley, 2010</w:t>
            </w:r>
            <w:r w:rsidRPr="00010C28">
              <w:rPr>
                <w:rtl/>
                <w:lang w:bidi="fa-IR"/>
              </w:rPr>
              <w:t>.</w:t>
            </w:r>
          </w:p>
          <w:p w:rsidR="00010C28" w:rsidRDefault="00130AB3" w:rsidP="00212865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Luenberger</w:t>
            </w:r>
            <w:proofErr w:type="spellEnd"/>
            <w:r>
              <w:rPr>
                <w:lang w:bidi="fa-IR"/>
              </w:rPr>
              <w:t>, D. G., and Y. Ye, Y. Linear and Nonlinear Programming”, 3th</w:t>
            </w:r>
            <w:r w:rsidR="00010C28"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Edition, Springer, 2010</w:t>
            </w:r>
            <w:r w:rsidRPr="00010C28">
              <w:rPr>
                <w:rtl/>
                <w:lang w:bidi="fa-IR"/>
              </w:rPr>
              <w:t>.</w:t>
            </w:r>
            <w:r w:rsidR="00010C28">
              <w:rPr>
                <w:lang w:bidi="fa-IR"/>
              </w:rPr>
              <w:t xml:space="preserve"> </w:t>
            </w:r>
          </w:p>
          <w:p w:rsidR="00D60A58" w:rsidRPr="00010C28" w:rsidRDefault="00D60A58" w:rsidP="00212865">
            <w:pPr>
              <w:bidi w:val="0"/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کلاس </w:t>
            </w:r>
            <w:r w:rsidR="00212865">
              <w:rPr>
                <w:rFonts w:hint="cs"/>
                <w:rtl/>
                <w:lang w:bidi="fa-IR"/>
              </w:rPr>
              <w:t xml:space="preserve">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212865" w:rsidP="0021286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%</w:t>
            </w:r>
            <w:r>
              <w:rPr>
                <w:rFonts w:hint="cs"/>
                <w:rtl/>
                <w:lang w:bidi="fa-IR"/>
              </w:rPr>
              <w:t>50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212865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212865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  <w:r w:rsidR="00D74467">
              <w:rPr>
                <w:lang w:bidi="fa-IR"/>
              </w:rPr>
              <w:t>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654"/>
        <w:gridCol w:w="2456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C6E03" w:rsidTr="00D9428D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9428D">
        <w:trPr>
          <w:trHeight w:val="1745"/>
        </w:trPr>
        <w:tc>
          <w:tcPr>
            <w:tcW w:w="298" w:type="pct"/>
            <w:vAlign w:val="center"/>
          </w:tcPr>
          <w:p w:rsidR="00C47146" w:rsidRPr="00910BB9" w:rsidRDefault="00C47146" w:rsidP="00910BB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1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910BB9" w:rsidRPr="00C567DA" w:rsidRDefault="00910BB9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lang w:bidi="fa-IR"/>
              </w:rPr>
            </w:pPr>
            <w:r w:rsidRPr="00910BB9">
              <w:rPr>
                <w:b/>
                <w:bCs/>
                <w:sz w:val="20"/>
                <w:lang w:bidi="fa-IR"/>
              </w:rPr>
              <w:fldChar w:fldCharType="begin"/>
            </w:r>
            <w:r w:rsidRPr="00910BB9">
              <w:rPr>
                <w:b/>
                <w:bCs/>
                <w:sz w:val="20"/>
                <w:lang w:bidi="fa-IR"/>
              </w:rPr>
              <w:instrText xml:space="preserve"> HYPERLINK "https://maktabkhooneh.org/course/%D8%AA%D8%AD%D9%82%DB%8C%D9%82-%D8%AF%D8%B1-%D8%B9%D9%85%D9%84%DB%8C%D8%A7%D8%AA-%D9%BE%DB%8C%D8%B4%D8%B1%D9%81%D8%AA%D9%87-%DB%B1-mk254/%D9%81%DB%8C%D9%84%D9%85-%D8%A2%D9%85%D9%88%D8%B2%D8%B4%DB%8C-ch404/%D9%88%DB%8C%D8%AF%DB%8C%D9%88-%D8%AC%D9%84%D8%B3%D9%87-%D8%A7%D9%88%D9%84-%D8%A8%D8%B1%D9%86%D8%A7%D9%85%D9%87-%D8%B1%DB%8C%D8%B2%DB%8C-%D8%AE%D8%B7%DB%8C-%D8%B1%D9%88%D8%B4-%D8%AD%D9%84-%D8%B5%D9%81%D8%AD%D9%87-%D8%B5%D9%88%D8%B1%D8%AA/" \o "</w:instrText>
            </w:r>
            <w:r w:rsidRPr="00910BB9">
              <w:rPr>
                <w:b/>
                <w:bCs/>
                <w:sz w:val="20"/>
                <w:rtl/>
                <w:lang w:bidi="fa-IR"/>
              </w:rPr>
              <w:instrText>جلسه اول - برنامه ر</w:instrTex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instrText>ی</w:instrTex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instrText>ز</w:instrTex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instrText>ی</w:instrText>
            </w:r>
            <w:r w:rsidRPr="00910BB9">
              <w:rPr>
                <w:b/>
                <w:bCs/>
                <w:sz w:val="20"/>
                <w:rtl/>
                <w:lang w:bidi="fa-IR"/>
              </w:rPr>
              <w:instrText xml:space="preserve"> خط</w:instrTex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instrText>ی</w:instrText>
            </w:r>
            <w:r w:rsidRPr="00910BB9">
              <w:rPr>
                <w:b/>
                <w:bCs/>
                <w:sz w:val="20"/>
                <w:rtl/>
                <w:lang w:bidi="fa-IR"/>
              </w:rPr>
              <w:instrText>:روش حل در صفحه و صورت کل</w:instrTex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instrText>ی</w:instrText>
            </w:r>
            <w:r w:rsidRPr="00910BB9">
              <w:rPr>
                <w:b/>
                <w:bCs/>
                <w:sz w:val="20"/>
                <w:lang w:bidi="fa-IR"/>
              </w:rPr>
              <w:instrText xml:space="preserve">" </w:instrText>
            </w:r>
            <w:r w:rsidRPr="00910BB9">
              <w:rPr>
                <w:b/>
                <w:bCs/>
                <w:sz w:val="20"/>
                <w:lang w:bidi="fa-IR"/>
              </w:rPr>
              <w:fldChar w:fldCharType="separate"/>
            </w:r>
            <w:r w:rsidRPr="00C567DA">
              <w:rPr>
                <w:b/>
                <w:bCs/>
                <w:sz w:val="20"/>
                <w:rtl/>
                <w:lang w:bidi="fa-IR"/>
              </w:rPr>
              <w:t>برنامه ریزی خطی: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 xml:space="preserve"> 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روش حل در صفحه و صورت کلی </w:t>
            </w:r>
          </w:p>
          <w:p w:rsidR="00C47146" w:rsidRPr="00910BB9" w:rsidRDefault="00910BB9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lang w:bidi="fa-IR"/>
              </w:rPr>
              <w:fldChar w:fldCharType="end"/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444A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30" w:type="pct"/>
            <w:vAlign w:val="center"/>
          </w:tcPr>
          <w:p w:rsidR="00910BB9" w:rsidRPr="00910BB9" w:rsidRDefault="00910BB9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جدول سیمپلکس اولیه و دستگاه معادلات خطی</w:t>
            </w:r>
          </w:p>
          <w:p w:rsidR="00005B9C" w:rsidRPr="00C567DA" w:rsidRDefault="00005B9C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  <w:p w:rsidR="00C47146" w:rsidRPr="00C567DA" w:rsidRDefault="00C47146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30" w:type="pct"/>
            <w:vAlign w:val="center"/>
          </w:tcPr>
          <w:p w:rsidR="00910BB9" w:rsidRPr="00910BB9" w:rsidRDefault="00910BB9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الگوریتم سیمپلکس</w:t>
            </w:r>
          </w:p>
          <w:p w:rsidR="00C47146" w:rsidRPr="00C567DA" w:rsidRDefault="00C47146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30" w:type="pct"/>
            <w:vAlign w:val="center"/>
          </w:tcPr>
          <w:p w:rsidR="00DB0346" w:rsidRPr="00582CCD" w:rsidRDefault="00910BB9" w:rsidP="00C567DA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روش 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تجد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د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نظر شده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محور گز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ن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و قاعده بلند برا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اجتناب از دوران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نظر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ه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دوگان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>(قضا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ضع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ف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و قو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>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C567DA">
            <w:pPr>
              <w:ind w:firstLine="0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کاربردها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از دوگان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>(قضا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چاره 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،ح</w:t>
            </w:r>
            <w:bookmarkStart w:id="0" w:name="_GoBack"/>
            <w:bookmarkEnd w:id="0"/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مسا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چندهدفه سلسله مراتب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الگور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تم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مپلکس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دوگان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582CCD" w:rsidRDefault="00910BB9" w:rsidP="00C47146">
            <w:pPr>
              <w:ind w:firstLine="0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الگور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تم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اول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ه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دوگان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تحل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حساس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ت</w:t>
            </w:r>
            <w:r w:rsidRPr="00910BB9">
              <w:rPr>
                <w:b/>
                <w:bCs/>
                <w:sz w:val="20"/>
                <w:rtl/>
                <w:lang w:bidi="fa-IR"/>
              </w:rPr>
              <w:t>(تغ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رات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رو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طرف راست و ماتر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س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ضرا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ب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و بردار ضرا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ب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هدف)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اضافه کردن ق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د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جد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د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به مساله و برنامه 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ز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صح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ح</w:t>
            </w:r>
            <w:r w:rsidRPr="00910BB9">
              <w:rPr>
                <w:b/>
                <w:bCs/>
                <w:sz w:val="20"/>
                <w:rtl/>
                <w:lang w:bidi="fa-IR"/>
              </w:rPr>
              <w:t>(روش ها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شاخه و کران و صفحه ها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برش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>)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230" w:type="pct"/>
            <w:vAlign w:val="center"/>
          </w:tcPr>
          <w:p w:rsidR="00766300" w:rsidRPr="00582CCD" w:rsidRDefault="00910BB9" w:rsidP="00C47146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الگور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تم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صفحه برش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مساله حمل و نقل، تخص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ص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و جر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ان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ماکس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مال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در شبکه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مساله جر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ان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در شبکه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مس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ر</w:t>
            </w:r>
            <w:r w:rsidRPr="00910BB9">
              <w:rPr>
                <w:b/>
                <w:bCs/>
                <w:sz w:val="20"/>
                <w:lang w:bidi="fa-IR"/>
              </w:rPr>
              <w:t>x</w:t>
            </w:r>
            <w:r w:rsidRPr="00910BB9">
              <w:rPr>
                <w:b/>
                <w:bCs/>
                <w:sz w:val="20"/>
                <w:rtl/>
                <w:lang w:bidi="fa-IR"/>
              </w:rPr>
              <w:t>-افزا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ش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و الگور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تم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جر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ان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ماکس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مال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در شبکه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230" w:type="pct"/>
            <w:vAlign w:val="center"/>
          </w:tcPr>
          <w:p w:rsidR="00C47146" w:rsidRPr="00582CCD" w:rsidRDefault="00910BB9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910BB9">
              <w:rPr>
                <w:b/>
                <w:bCs/>
                <w:sz w:val="20"/>
                <w:rtl/>
                <w:lang w:bidi="fa-IR"/>
              </w:rPr>
              <w:t>حل مساله تخص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ص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با جر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ان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ماکس</w:t>
            </w:r>
            <w:r w:rsidRPr="00910BB9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910BB9">
              <w:rPr>
                <w:rFonts w:hint="eastAsia"/>
                <w:b/>
                <w:bCs/>
                <w:sz w:val="20"/>
                <w:rtl/>
                <w:lang w:bidi="fa-IR"/>
              </w:rPr>
              <w:t>مال</w:t>
            </w:r>
            <w:r w:rsidRPr="00910BB9">
              <w:rPr>
                <w:b/>
                <w:bCs/>
                <w:sz w:val="20"/>
                <w:rtl/>
                <w:lang w:bidi="fa-IR"/>
              </w:rPr>
              <w:t xml:space="preserve"> در شبکه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1230" w:type="pct"/>
            <w:vAlign w:val="center"/>
          </w:tcPr>
          <w:p w:rsidR="00C567DA" w:rsidRPr="00910BB9" w:rsidRDefault="00C567D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C567DA">
              <w:rPr>
                <w:b/>
                <w:bCs/>
                <w:sz w:val="20"/>
                <w:rtl/>
                <w:lang w:bidi="fa-IR"/>
              </w:rPr>
              <w:t>به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نه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ساز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غ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رخط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>:مقدمات و توابع محدب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1230" w:type="pct"/>
            <w:vAlign w:val="center"/>
          </w:tcPr>
          <w:p w:rsidR="00C567DA" w:rsidRPr="00910BB9" w:rsidRDefault="00C567D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C567DA">
              <w:rPr>
                <w:b/>
                <w:bCs/>
                <w:sz w:val="20"/>
                <w:rtl/>
                <w:lang w:bidi="fa-IR"/>
              </w:rPr>
              <w:t>توابع محدب:خواص و به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نه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کننده سراسر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1230" w:type="pct"/>
            <w:vAlign w:val="center"/>
          </w:tcPr>
          <w:p w:rsidR="00C567DA" w:rsidRPr="00910BB9" w:rsidRDefault="00C567D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C567DA">
              <w:rPr>
                <w:b/>
                <w:bCs/>
                <w:sz w:val="20"/>
                <w:rtl/>
                <w:lang w:bidi="fa-IR"/>
              </w:rPr>
              <w:t>قض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تابع ضمن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و قض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ضرا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ب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لاگرانژ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برا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به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نه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ساز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با ق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ود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تساو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C567DA" w:rsidTr="00D9428D">
        <w:tc>
          <w:tcPr>
            <w:tcW w:w="298" w:type="pct"/>
            <w:vAlign w:val="center"/>
          </w:tcPr>
          <w:p w:rsidR="00C567DA" w:rsidRDefault="00C567DA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1230" w:type="pct"/>
            <w:vAlign w:val="center"/>
          </w:tcPr>
          <w:p w:rsidR="00C567DA" w:rsidRPr="00910BB9" w:rsidRDefault="00C567DA" w:rsidP="007B7173">
            <w:pPr>
              <w:ind w:firstLine="0"/>
              <w:jc w:val="center"/>
              <w:rPr>
                <w:b/>
                <w:bCs/>
                <w:sz w:val="20"/>
                <w:rtl/>
                <w:lang w:bidi="fa-IR"/>
              </w:rPr>
            </w:pPr>
            <w:r w:rsidRPr="00C567DA">
              <w:rPr>
                <w:b/>
                <w:bCs/>
                <w:sz w:val="20"/>
                <w:rtl/>
                <w:lang w:bidi="fa-IR"/>
              </w:rPr>
              <w:t>شرا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ط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لازم مرتبه اول </w:t>
            </w:r>
            <w:r w:rsidRPr="00C567DA">
              <w:rPr>
                <w:b/>
                <w:bCs/>
                <w:sz w:val="20"/>
                <w:lang w:bidi="fa-IR"/>
              </w:rPr>
              <w:t>KKT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، توص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ف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ق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د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منتظم بودن، مساله به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نه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ساز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مق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د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به ق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b/>
                <w:bCs/>
                <w:sz w:val="20"/>
                <w:rtl/>
                <w:lang w:bidi="fa-IR"/>
              </w:rPr>
              <w:t>ود</w:t>
            </w:r>
            <w:r w:rsidRPr="00C567DA">
              <w:rPr>
                <w:b/>
                <w:bCs/>
                <w:sz w:val="20"/>
                <w:rtl/>
                <w:lang w:bidi="fa-IR"/>
              </w:rPr>
              <w:t xml:space="preserve"> نامساو</w:t>
            </w:r>
            <w:r w:rsidRPr="00C567DA">
              <w:rPr>
                <w:rFonts w:hint="cs"/>
                <w:b/>
                <w:bCs/>
                <w:sz w:val="20"/>
                <w:rtl/>
                <w:lang w:bidi="fa-IR"/>
              </w:rPr>
              <w:t>ی</w:t>
            </w:r>
          </w:p>
        </w:tc>
        <w:tc>
          <w:tcPr>
            <w:tcW w:w="1138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567DA" w:rsidRPr="00582CCD" w:rsidRDefault="00C567DA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567DA">
              <w:rPr>
                <w:sz w:val="20"/>
                <w:rtl/>
                <w:lang w:bidi="fa-IR"/>
              </w:rPr>
              <w:t>تحو</w:t>
            </w:r>
            <w:r w:rsidRPr="00C567DA">
              <w:rPr>
                <w:rFonts w:hint="cs"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sz w:val="20"/>
                <w:rtl/>
                <w:lang w:bidi="fa-IR"/>
              </w:rPr>
              <w:t>ل</w:t>
            </w:r>
            <w:r w:rsidRPr="00C567DA">
              <w:rPr>
                <w:sz w:val="20"/>
                <w:rtl/>
                <w:lang w:bidi="fa-IR"/>
              </w:rPr>
              <w:t xml:space="preserve"> تکل</w:t>
            </w:r>
            <w:r w:rsidRPr="00C567DA">
              <w:rPr>
                <w:rFonts w:hint="cs"/>
                <w:sz w:val="20"/>
                <w:rtl/>
                <w:lang w:bidi="fa-IR"/>
              </w:rPr>
              <w:t>ی</w:t>
            </w:r>
            <w:r w:rsidRPr="00C567DA">
              <w:rPr>
                <w:rFonts w:hint="eastAsia"/>
                <w:sz w:val="20"/>
                <w:rtl/>
                <w:lang w:bidi="fa-IR"/>
              </w:rPr>
              <w:t>ف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5F2" w:rsidRDefault="001545F2" w:rsidP="00061A9B">
      <w:pPr>
        <w:spacing w:after="0"/>
      </w:pPr>
      <w:r>
        <w:separator/>
      </w:r>
    </w:p>
  </w:endnote>
  <w:endnote w:type="continuationSeparator" w:id="0">
    <w:p w:rsidR="001545F2" w:rsidRDefault="001545F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ED4CB6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ED4CB6">
      <w:rPr>
        <w:lang w:bidi="fa-IR"/>
      </w:rPr>
      <w:fldChar w:fldCharType="separate"/>
    </w:r>
    <w:r w:rsidR="00C567DA">
      <w:rPr>
        <w:noProof/>
        <w:rtl/>
        <w:lang w:bidi="fa-IR"/>
      </w:rPr>
      <w:t>5</w:t>
    </w:r>
    <w:r w:rsidR="00ED4CB6"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5F2" w:rsidRDefault="001545F2" w:rsidP="00061A9B">
      <w:pPr>
        <w:spacing w:after="0"/>
      </w:pPr>
      <w:r>
        <w:separator/>
      </w:r>
    </w:p>
  </w:footnote>
  <w:footnote w:type="continuationSeparator" w:id="0">
    <w:p w:rsidR="001545F2" w:rsidRDefault="001545F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545F2"/>
    <w:rsid w:val="00165901"/>
    <w:rsid w:val="0018085B"/>
    <w:rsid w:val="001820FC"/>
    <w:rsid w:val="00192BA1"/>
    <w:rsid w:val="00192BB6"/>
    <w:rsid w:val="00197896"/>
    <w:rsid w:val="001A4CEF"/>
    <w:rsid w:val="001B1F97"/>
    <w:rsid w:val="001B2A3A"/>
    <w:rsid w:val="001E2DA0"/>
    <w:rsid w:val="001F48E0"/>
    <w:rsid w:val="00211920"/>
    <w:rsid w:val="00212865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A7B23"/>
    <w:rsid w:val="005B2735"/>
    <w:rsid w:val="005B6CE2"/>
    <w:rsid w:val="005C0385"/>
    <w:rsid w:val="005D0BB3"/>
    <w:rsid w:val="005D7AAE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8F5B32"/>
    <w:rsid w:val="00910BB9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567DA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F0011"/>
    <w:rsid w:val="00E504B7"/>
    <w:rsid w:val="00E85668"/>
    <w:rsid w:val="00EA7DEC"/>
    <w:rsid w:val="00EB76A2"/>
    <w:rsid w:val="00ED4CB6"/>
    <w:rsid w:val="00EE56A0"/>
    <w:rsid w:val="00EF4E50"/>
    <w:rsid w:val="00EF67CA"/>
    <w:rsid w:val="00F06A90"/>
    <w:rsid w:val="00F6060B"/>
    <w:rsid w:val="00F6504B"/>
    <w:rsid w:val="00F75050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CABB3D-A913-4330-977F-8FF5D3F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D4D3-7DE9-4F96-8E63-ACE16C3C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Windows User</cp:lastModifiedBy>
  <cp:revision>5</cp:revision>
  <cp:lastPrinted>2018-07-09T15:10:00Z</cp:lastPrinted>
  <dcterms:created xsi:type="dcterms:W3CDTF">2020-10-25T04:47:00Z</dcterms:created>
  <dcterms:modified xsi:type="dcterms:W3CDTF">2020-10-25T05:07:00Z</dcterms:modified>
</cp:coreProperties>
</file>