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B22151" w:rsidP="007C2FF0">
            <w:pPr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سنگهاي آذرين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7F2F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علوم زمين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07F2F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فاطمه سرجوقيان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B22151" w:rsidP="00B22151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سه شنبه ٨-١٠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B22151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مباني كاني شناسي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B22151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2215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B22151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سنگ شناسي آذرين از فرهاد محرمي</w:t>
            </w:r>
          </w:p>
          <w:p w:rsidR="00D60A58" w:rsidRDefault="00B22151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پتروگرافي و پترولوژي سنگ‌هاي آذرين از معين وزيري و احمدي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B22151">
            <w:pPr>
              <w:ind w:left="432" w:firstLine="0"/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E73F22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آسنايي با ماگماتيسم و فرايندهاي شكل گيري آن</w:t>
            </w:r>
          </w:p>
          <w:p w:rsidR="0013501B" w:rsidRPr="00C80219" w:rsidRDefault="00E73F22" w:rsidP="00E73F22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 و بافت سنگ‌هاي آذرين</w:t>
            </w:r>
          </w:p>
          <w:p w:rsidR="0013501B" w:rsidRPr="00C80219" w:rsidRDefault="00E73F22" w:rsidP="00E73F22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 بندي سنگهاي آذرين وخصوصيات آنها</w:t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9114BE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سنگ‌هاي آذرين</w:t>
            </w: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9114BE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زمين شناسي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9114BE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4A0B18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ميان ترم و پايان ترم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4A0B18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7520F1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كار تحقيقي</w:t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7520F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20F1">
              <w:rPr>
                <w:b/>
                <w:bCs/>
                <w:lang w:bidi="fa-IR"/>
              </w:rPr>
              <w:t>f.sarjoughian@uok.ac.ir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2A3879" w:rsidTr="004F056C">
        <w:trPr>
          <w:trHeight w:val="1745"/>
        </w:trPr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8B15A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ماگما و خواص فيزيكي آن</w:t>
            </w:r>
          </w:p>
          <w:p w:rsidR="002A3879" w:rsidRPr="00582CCD" w:rsidRDefault="002A3879" w:rsidP="002A3879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C66A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كليات</w:t>
            </w:r>
          </w:p>
          <w:p w:rsidR="002A3879" w:rsidRPr="00582CCD" w:rsidRDefault="002A3879" w:rsidP="002A3879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BC66A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1538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BC66A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تولي</w:t>
            </w:r>
            <w:r w:rsidR="001538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</w:t>
            </w:r>
            <w:r w:rsidR="00BC66A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ماگما</w:t>
            </w:r>
          </w:p>
          <w:p w:rsidR="002A3879" w:rsidRPr="00582CCD" w:rsidRDefault="002A3879" w:rsidP="002A3879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C66A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سازو كار توليد ماگما</w:t>
            </w:r>
          </w:p>
          <w:p w:rsidR="002A3879" w:rsidRPr="00582CCD" w:rsidRDefault="002A3879" w:rsidP="002A3879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538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علت تغيير تركيب ماگما</w:t>
            </w:r>
          </w:p>
          <w:p w:rsidR="002A3879" w:rsidRPr="00582CCD" w:rsidRDefault="002A3879" w:rsidP="002A3879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1538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تغيير تركيب ماگما</w:t>
            </w:r>
          </w:p>
          <w:p w:rsidR="002A3879" w:rsidRPr="00582CCD" w:rsidRDefault="002A3879" w:rsidP="002A3879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933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بافت سنگ‌هاي آذرين </w:t>
            </w:r>
          </w:p>
          <w:p w:rsidR="002A3879" w:rsidRPr="00582CCD" w:rsidRDefault="002A3879" w:rsidP="002A3879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933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بافت و ساخت در سنگ‌هاي آذرين</w:t>
            </w:r>
          </w:p>
          <w:p w:rsidR="002A3879" w:rsidRPr="00582CCD" w:rsidRDefault="002A3879" w:rsidP="002A3879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933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بافت سنگ‌هاي آذرين</w:t>
            </w: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9330B" w:rsidRPr="0029330B" w:rsidRDefault="002A3879" w:rsidP="0029330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9330B" w:rsidRPr="002933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بافت و ساخت در سنگ‌هاي آذرين</w:t>
            </w: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933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ساخت سنگ‌هاي آذرين</w:t>
            </w: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9330B" w:rsidRPr="0029330B" w:rsidRDefault="002A3879" w:rsidP="0029330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9330B" w:rsidRPr="002933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بافت و ساخت در سنگ‌هاي آذرين</w:t>
            </w:r>
          </w:p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762DDE" w:rsidRPr="00762DDE" w:rsidRDefault="002A3879" w:rsidP="00762D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933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62DDE" w:rsidRPr="00762D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آذرين براساس  نمودار </w:t>
            </w:r>
            <w:r w:rsidR="00762DDE" w:rsidRPr="00762DDE">
              <w:rPr>
                <w:b/>
                <w:bCs/>
                <w:sz w:val="20"/>
                <w:szCs w:val="22"/>
                <w:lang w:bidi="fa-IR"/>
              </w:rPr>
              <w:t>QAP</w:t>
            </w:r>
          </w:p>
          <w:p w:rsidR="002A3879" w:rsidRPr="00582CCD" w:rsidRDefault="002A3879" w:rsidP="002A3879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762DD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62DDE" w:rsidRPr="00762D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</w:t>
            </w:r>
            <w:r w:rsidR="00762DDE" w:rsidRPr="00762D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آذرين</w:t>
            </w:r>
          </w:p>
          <w:p w:rsidR="002A3879" w:rsidRPr="00582CCD" w:rsidRDefault="002A3879" w:rsidP="002A3879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73" w:type="pct"/>
            <w:vAlign w:val="center"/>
          </w:tcPr>
          <w:p w:rsidR="00F867D5" w:rsidRPr="00F867D5" w:rsidRDefault="002A3879" w:rsidP="00762D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867D5" w:rsidRPr="00F867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62D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62D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سنگ‌هاي آذرآواري</w:t>
            </w: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F867D5" w:rsidRPr="00F867D5" w:rsidRDefault="002A3879" w:rsidP="00F867D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867D5" w:rsidRPr="00F867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آذرين</w:t>
            </w: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FF25E3" w:rsidRPr="00FF25E3" w:rsidRDefault="002A3879" w:rsidP="0061100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F25E3" w:rsidRPr="00FF25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867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1100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طبقه بندي سنگ‌هاي آذرين الترابازيك </w:t>
            </w: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FF25E3" w:rsidRPr="00FF25E3" w:rsidRDefault="002A3879" w:rsidP="00FF25E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F25E3" w:rsidRPr="00FF25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آذرين</w:t>
            </w: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61100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D1E1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لامپروفيرها- لامپروئيت ها- كيمبربيت ها</w:t>
            </w:r>
            <w:r w:rsidR="00FF25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1100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مليليت‌ها</w:t>
            </w:r>
            <w:r w:rsidR="004D1E1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- شارنوكيت</w:t>
            </w: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FF25E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F25E3" w:rsidRPr="00FF25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آذرين</w:t>
            </w: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A13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سنگ‌هاي اسيدي</w:t>
            </w: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bookmarkStart w:id="0" w:name="_GoBack"/>
            <w:bookmarkEnd w:id="0"/>
          </w:p>
          <w:p w:rsidR="002A3879" w:rsidRDefault="002A3879" w:rsidP="002A3879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A13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گرانيت و سنگ‌ةاي وابسته</w:t>
            </w:r>
          </w:p>
          <w:p w:rsidR="004A13F8" w:rsidRPr="00582CCD" w:rsidRDefault="004A13F8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ريوليت و سنگ‌هاي وابسته</w:t>
            </w:r>
          </w:p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A697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سنگ‌ هاي اذرين حدواسط- بازيك</w:t>
            </w: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A3879" w:rsidRDefault="002A3879" w:rsidP="002A3879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DA6972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 xml:space="preserve"> بازالت و سنگ‌هاي وابسته</w:t>
            </w:r>
            <w:r w:rsidR="004A13F8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 xml:space="preserve">. </w:t>
            </w:r>
          </w:p>
          <w:p w:rsidR="004A13F8" w:rsidRPr="00582CCD" w:rsidRDefault="004A13F8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آندزيت- ديوريت و سنگ‌هاي وابسته</w:t>
            </w:r>
          </w:p>
          <w:p w:rsidR="002A3879" w:rsidRPr="00582CCD" w:rsidRDefault="002A3879" w:rsidP="002A3879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DA69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A697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سنگ‌هاي مافيك و الترامافيك</w:t>
            </w: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A697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سنگ‌هاي مافيك و الترامافيك</w:t>
            </w:r>
          </w:p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2A3879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72F1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سنگ‌هاي آلكالن</w:t>
            </w:r>
          </w:p>
          <w:p w:rsidR="002A3879" w:rsidRPr="00582CCD" w:rsidRDefault="002A3879" w:rsidP="002A3879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72F1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سنگ‌هاي آلكالن</w:t>
            </w:r>
          </w:p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Pr="00E70AB2" w:rsidRDefault="002A3879" w:rsidP="008C1839">
            <w:r w:rsidRPr="00E70AB2">
              <w:rPr>
                <w:rtl/>
              </w:rPr>
              <w:t>پرسش و پاسخ</w:t>
            </w:r>
          </w:p>
        </w:tc>
      </w:tr>
      <w:tr w:rsidR="002A3879" w:rsidTr="004F056C">
        <w:tc>
          <w:tcPr>
            <w:tcW w:w="298" w:type="pct"/>
            <w:vAlign w:val="center"/>
          </w:tcPr>
          <w:p w:rsidR="002A3879" w:rsidRDefault="002A3879" w:rsidP="002A38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72F1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محيطهاي تكتونيكي</w:t>
            </w:r>
          </w:p>
          <w:p w:rsidR="002A3879" w:rsidRPr="00582CCD" w:rsidRDefault="002A3879" w:rsidP="002A387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A3879" w:rsidRPr="00582CCD" w:rsidRDefault="002A3879" w:rsidP="002A387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72F1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ماگماتيسم و تكتونيك</w:t>
            </w:r>
          </w:p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2A3879" w:rsidRPr="00582CCD" w:rsidRDefault="002A3879" w:rsidP="002A3879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931D86">
              <w:rPr>
                <w:rFonts w:hint="cs"/>
                <w:sz w:val="20"/>
                <w:szCs w:val="22"/>
                <w:rtl/>
                <w:lang w:bidi="fa-IR"/>
              </w:rPr>
              <w:t>مرور مطالب</w:t>
            </w:r>
          </w:p>
        </w:tc>
        <w:tc>
          <w:tcPr>
            <w:tcW w:w="1208" w:type="pct"/>
          </w:tcPr>
          <w:p w:rsidR="002A3879" w:rsidRDefault="002A3879" w:rsidP="008C1839">
            <w:r w:rsidRPr="00E70AB2">
              <w:rPr>
                <w:rtl/>
              </w:rPr>
              <w:t>پرسش و پاسخ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1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71" w:rsidRDefault="00CD4F71" w:rsidP="00061A9B">
      <w:pPr>
        <w:spacing w:after="0"/>
      </w:pPr>
      <w:r>
        <w:separator/>
      </w:r>
    </w:p>
  </w:endnote>
  <w:endnote w:type="continuationSeparator" w:id="0">
    <w:p w:rsidR="00CD4F71" w:rsidRDefault="00CD4F7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4D1E11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71" w:rsidRDefault="00CD4F71" w:rsidP="00061A9B">
      <w:pPr>
        <w:spacing w:after="0"/>
      </w:pPr>
      <w:r>
        <w:separator/>
      </w:r>
    </w:p>
  </w:footnote>
  <w:footnote w:type="continuationSeparator" w:id="0">
    <w:p w:rsidR="00CD4F71" w:rsidRDefault="00CD4F7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107F2F"/>
    <w:rsid w:val="0013501B"/>
    <w:rsid w:val="0015388F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32D70"/>
    <w:rsid w:val="00261C5C"/>
    <w:rsid w:val="00262DF5"/>
    <w:rsid w:val="00270A93"/>
    <w:rsid w:val="0029330B"/>
    <w:rsid w:val="002A3879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7E12"/>
    <w:rsid w:val="003D527E"/>
    <w:rsid w:val="00401CE6"/>
    <w:rsid w:val="00444A73"/>
    <w:rsid w:val="00466747"/>
    <w:rsid w:val="00487C6C"/>
    <w:rsid w:val="004A0B18"/>
    <w:rsid w:val="004A13F8"/>
    <w:rsid w:val="004A4A5B"/>
    <w:rsid w:val="004C5DB1"/>
    <w:rsid w:val="004C6E03"/>
    <w:rsid w:val="004D1E11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00A"/>
    <w:rsid w:val="00611622"/>
    <w:rsid w:val="00672F11"/>
    <w:rsid w:val="006F33D4"/>
    <w:rsid w:val="007146CC"/>
    <w:rsid w:val="0072301F"/>
    <w:rsid w:val="007317DD"/>
    <w:rsid w:val="00735D11"/>
    <w:rsid w:val="007520F1"/>
    <w:rsid w:val="00762DDE"/>
    <w:rsid w:val="00766300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B15A0"/>
    <w:rsid w:val="008C3AB5"/>
    <w:rsid w:val="008D6C02"/>
    <w:rsid w:val="008E0391"/>
    <w:rsid w:val="008E6B14"/>
    <w:rsid w:val="009114BE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4048"/>
    <w:rsid w:val="00AB3C79"/>
    <w:rsid w:val="00AC5599"/>
    <w:rsid w:val="00AD40DF"/>
    <w:rsid w:val="00AF4840"/>
    <w:rsid w:val="00B01882"/>
    <w:rsid w:val="00B22151"/>
    <w:rsid w:val="00B53F72"/>
    <w:rsid w:val="00B77E9C"/>
    <w:rsid w:val="00BA374A"/>
    <w:rsid w:val="00BC66A7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D4F71"/>
    <w:rsid w:val="00CE1F98"/>
    <w:rsid w:val="00D2144D"/>
    <w:rsid w:val="00D45B4E"/>
    <w:rsid w:val="00D50B2B"/>
    <w:rsid w:val="00D60A58"/>
    <w:rsid w:val="00DA6972"/>
    <w:rsid w:val="00DB0346"/>
    <w:rsid w:val="00DB0DFA"/>
    <w:rsid w:val="00DC2468"/>
    <w:rsid w:val="00DD4491"/>
    <w:rsid w:val="00DF0011"/>
    <w:rsid w:val="00E504B7"/>
    <w:rsid w:val="00E73F22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867D5"/>
    <w:rsid w:val="00FB3E55"/>
    <w:rsid w:val="00FC58F8"/>
    <w:rsid w:val="00FE6960"/>
    <w:rsid w:val="00FF25E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DE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DE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CA19-93FB-4479-A6FF-A2C009E8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2443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sara</cp:lastModifiedBy>
  <cp:revision>92</cp:revision>
  <cp:lastPrinted>2018-07-09T15:10:00Z</cp:lastPrinted>
  <dcterms:created xsi:type="dcterms:W3CDTF">2018-06-27T18:09:00Z</dcterms:created>
  <dcterms:modified xsi:type="dcterms:W3CDTF">2019-04-07T06:30:00Z</dcterms:modified>
</cp:coreProperties>
</file>