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cx="http://schemas.microsoft.com/office/drawing/2014/chartex" xmlns:cx1="http://schemas.microsoft.com/office/drawing/2015/9/8/chartex" xmlns:w16se="http://schemas.microsoft.com/office/word/2015/wordml/sym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نانوساختار مواد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AA0E6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فیزیک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بندر آستین چپ</w:t>
            </w:r>
            <w:r w:rsidR="00205A22">
              <w:rPr>
                <w:sz w:val="20"/>
                <w:szCs w:val="22"/>
                <w:lang w:bidi="fa-IR"/>
              </w:rPr>
              <w:t xml:space="preserve"> </w:t>
            </w:r>
            <w:r w:rsidR="00205A22">
              <w:rPr>
                <w:rFonts w:hint="cs"/>
                <w:sz w:val="20"/>
                <w:szCs w:val="22"/>
                <w:rtl/>
                <w:lang w:bidi="fa-IR"/>
              </w:rPr>
              <w:t xml:space="preserve"> و زهرا عالمی پور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AA0E6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16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7C2FF0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</w:p>
        </w:tc>
      </w:tr>
    </w:tbl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75"/>
        <w:gridCol w:w="663"/>
        <w:gridCol w:w="2406"/>
        <w:gridCol w:w="5246"/>
        <w:gridCol w:w="2410"/>
        <w:gridCol w:w="75"/>
        <w:gridCol w:w="141"/>
      </w:tblGrid>
      <w:tr w:rsidR="00FC58F8" w:rsidRPr="007C25BD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BF2A62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*منظور از واحد صنعتی هر کدام از واحدهای بخش خصوصی پیش‌بینی شده در آیین‌نامه </w:t>
            </w:r>
            <w:r w:rsidR="007C25BD" w:rsidRPr="007C25BD">
              <w:rPr>
                <w:rFonts w:cs="Calibri" w:hint="cs"/>
                <w:sz w:val="18"/>
                <w:szCs w:val="20"/>
                <w:rtl/>
                <w:lang w:bidi="fa-IR"/>
              </w:rPr>
              <w:t>«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>ارتقای توان اشتغال‌پذیری دانشجویان کارشناسی</w:t>
            </w:r>
            <w:r w:rsidR="007C25BD" w:rsidRPr="007C25BD">
              <w:rPr>
                <w:rFonts w:hint="cs"/>
                <w:sz w:val="18"/>
                <w:szCs w:val="20"/>
                <w:rtl/>
                <w:lang w:bidi="fa-IR"/>
              </w:rPr>
              <w:t>»</w:t>
            </w:r>
            <w:r w:rsidRPr="007C25BD">
              <w:rPr>
                <w:rFonts w:hint="cs"/>
                <w:sz w:val="18"/>
                <w:szCs w:val="20"/>
                <w:rtl/>
                <w:lang w:bidi="fa-IR"/>
              </w:rPr>
              <w:t xml:space="preserve"> است.</w:t>
            </w:r>
            <w:r w:rsidR="00374B8D" w:rsidRPr="007C25BD">
              <w:rPr>
                <w:sz w:val="18"/>
                <w:szCs w:val="20"/>
                <w:rtl/>
                <w:lang w:bidi="fa-IR"/>
              </w:rPr>
              <w:br w:type="textWrapping" w:clear="all"/>
            </w:r>
            <w:r w:rsidR="00FC58F8"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 w:rsidR="00FC58F8"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C80187">
        <w:trPr>
          <w:trHeight w:val="347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C80187">
        <w:trPr>
          <w:trHeight w:val="855"/>
        </w:trPr>
        <w:tc>
          <w:tcPr>
            <w:tcW w:w="5000" w:type="pct"/>
            <w:gridSpan w:val="7"/>
          </w:tcPr>
          <w:p w:rsidR="00D60A58" w:rsidRPr="00C80187" w:rsidRDefault="00AA0E60" w:rsidP="00C80187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ندارد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C80187">
        <w:trPr>
          <w:trHeight w:val="780"/>
        </w:trPr>
        <w:tc>
          <w:tcPr>
            <w:tcW w:w="5000" w:type="pct"/>
            <w:gridSpan w:val="7"/>
          </w:tcPr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ویدئوپروژکتور</w:t>
            </w:r>
          </w:p>
          <w:p w:rsidR="00FC58F8" w:rsidRPr="00D60A58" w:rsidRDefault="00AA0E6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کامپیوتر</w:t>
            </w:r>
          </w:p>
          <w:p w:rsidR="00D60A58" w:rsidRPr="00C80187" w:rsidRDefault="00AA0E60" w:rsidP="00C80187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نرم افزار پاورپوینت</w:t>
            </w:r>
          </w:p>
        </w:tc>
      </w:tr>
      <w:tr w:rsidR="00FC58F8" w:rsidTr="00C80187">
        <w:trPr>
          <w:trHeight w:val="40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C80187">
        <w:trPr>
          <w:trHeight w:val="375"/>
        </w:trPr>
        <w:tc>
          <w:tcPr>
            <w:tcW w:w="5000" w:type="pct"/>
            <w:gridSpan w:val="7"/>
          </w:tcPr>
          <w:p w:rsidR="00FC58F8" w:rsidRDefault="00FC58F8" w:rsidP="00AA0E60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A0E60">
              <w:rPr>
                <w:rFonts w:hint="cs"/>
                <w:lang w:bidi="fa-IR"/>
              </w:rPr>
              <w:sym w:font="Wingdings 2" w:char="F052"/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A0E60">
              <w:rPr>
                <w:rFonts w:hint="cs"/>
              </w:rPr>
              <w:sym w:font="Wingdings 2" w:char="F05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Pr="00C80187" w:rsidRDefault="00D60A58" w:rsidP="00C80187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  <w:r w:rsidR="00AA0E60">
              <w:rPr>
                <w:rFonts w:hint="cs"/>
                <w:rtl/>
              </w:rPr>
              <w:t xml:space="preserve"> کنفرانس</w:t>
            </w:r>
          </w:p>
        </w:tc>
      </w:tr>
      <w:tr w:rsidR="00FC58F8" w:rsidTr="00C80187">
        <w:trPr>
          <w:trHeight w:val="345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C80187">
        <w:trPr>
          <w:trHeight w:val="555"/>
        </w:trPr>
        <w:tc>
          <w:tcPr>
            <w:tcW w:w="5000" w:type="pct"/>
            <w:gridSpan w:val="7"/>
          </w:tcPr>
          <w:p w:rsidR="00D60A58" w:rsidRDefault="00AA0E60" w:rsidP="00AA0E60">
            <w:pPr>
              <w:pStyle w:val="ListParagraph"/>
              <w:numPr>
                <w:ilvl w:val="0"/>
                <w:numId w:val="37"/>
              </w:numPr>
              <w:tabs>
                <w:tab w:val="right" w:pos="2880"/>
              </w:tabs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سوالونی: مبانی علم سطح در نانوتکنولوژی: روشهای جدید آنالیز سطح، فصل مشترک و لایه های نازک، انتشارات دانشگاه تهران</w:t>
            </w:r>
          </w:p>
          <w:p w:rsidR="00D60A58" w:rsidRDefault="00AA0E6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Microstructure </w:t>
            </w:r>
            <w:proofErr w:type="spellStart"/>
            <w:r>
              <w:rPr>
                <w:lang w:bidi="fa-IR"/>
              </w:rPr>
              <w:t>Charactrization</w:t>
            </w:r>
            <w:proofErr w:type="spellEnd"/>
            <w:r>
              <w:rPr>
                <w:lang w:bidi="fa-IR"/>
              </w:rPr>
              <w:t xml:space="preserve"> of Materials, D. Brandon and W. D. Kaplan, Johan Wiley &amp; Sons, 1999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  <w:r w:rsidR="00AA0E60">
              <w:rPr>
                <w:lang w:bidi="fa-IR"/>
              </w:rPr>
              <w:t xml:space="preserve">Elements of Modern X-ray physics, J. </w:t>
            </w:r>
            <w:proofErr w:type="spellStart"/>
            <w:r w:rsidR="00AA0E60">
              <w:rPr>
                <w:lang w:bidi="fa-IR"/>
              </w:rPr>
              <w:t>Als</w:t>
            </w:r>
            <w:proofErr w:type="spellEnd"/>
            <w:r w:rsidR="00AA0E60">
              <w:rPr>
                <w:lang w:bidi="fa-IR"/>
              </w:rPr>
              <w:t>-Nielsen and Des M. John Wiley &amp; Sons, 2001</w:t>
            </w:r>
          </w:p>
          <w:p w:rsidR="00D60A58" w:rsidRPr="00D60A58" w:rsidRDefault="00AA0E6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 xml:space="preserve">Modern Techniques of Surface Science, D. P. Woodruff and T. A. </w:t>
            </w:r>
            <w:proofErr w:type="spellStart"/>
            <w:r>
              <w:rPr>
                <w:lang w:bidi="fa-IR"/>
              </w:rPr>
              <w:t>Delchar</w:t>
            </w:r>
            <w:proofErr w:type="spellEnd"/>
            <w:r>
              <w:rPr>
                <w:lang w:bidi="fa-IR"/>
              </w:rPr>
              <w:t>, Cambridge Uni. Press, 1989</w:t>
            </w:r>
          </w:p>
        </w:tc>
      </w:tr>
      <w:tr w:rsidR="0013501B" w:rsidTr="00C80187"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t>اهداف 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C80187">
        <w:trPr>
          <w:trHeight w:val="33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6B4949" w:rsidP="006B4949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انواع نانوساختارها و ویزگی های فیزیک آنها</w:t>
            </w:r>
          </w:p>
          <w:p w:rsidR="0013501B" w:rsidRPr="00C80219" w:rsidRDefault="006B4949" w:rsidP="00C80187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آشنایی با روشهای تولید نانوساختارها</w:t>
            </w:r>
            <w:r w:rsidR="0013501B" w:rsidRPr="00C80219">
              <w:rPr>
                <w:rtl/>
                <w:lang w:bidi="fa-IR"/>
              </w:rPr>
              <w:tab/>
            </w:r>
          </w:p>
        </w:tc>
      </w:tr>
      <w:tr w:rsidR="0013501B" w:rsidTr="00C80187">
        <w:trPr>
          <w:trHeight w:val="360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C80187">
        <w:trPr>
          <w:trHeight w:val="552"/>
        </w:trPr>
        <w:tc>
          <w:tcPr>
            <w:tcW w:w="5000" w:type="pct"/>
            <w:gridSpan w:val="7"/>
          </w:tcPr>
          <w:p w:rsidR="0013501B" w:rsidRDefault="00D94AE4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نانومواد و کاربرد انها </w:t>
            </w:r>
            <w:r w:rsidR="008F3F27">
              <w:rPr>
                <w:rFonts w:hint="cs"/>
                <w:rtl/>
                <w:lang w:bidi="fa-IR"/>
              </w:rPr>
              <w:t xml:space="preserve"> و روشهای تولید آنها جهت ارائه به بازار</w:t>
            </w:r>
          </w:p>
          <w:p w:rsidR="0013501B" w:rsidRPr="002D0BD4" w:rsidRDefault="0013501B" w:rsidP="00C80187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FE6960" w:rsidTr="00C80187">
        <w:trPr>
          <w:trHeight w:val="284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C80187">
        <w:trPr>
          <w:trHeight w:val="534"/>
        </w:trPr>
        <w:tc>
          <w:tcPr>
            <w:tcW w:w="5000" w:type="pct"/>
            <w:gridSpan w:val="7"/>
          </w:tcPr>
          <w:p w:rsidR="00FE6960" w:rsidRDefault="008F3F27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فضای کسب و کار در حوزه نانومواد</w:t>
            </w:r>
          </w:p>
          <w:p w:rsidR="00FE6960" w:rsidRDefault="00FE6960" w:rsidP="00C80187">
            <w:pPr>
              <w:rPr>
                <w:rtl/>
                <w:lang w:bidi="fa-IR"/>
              </w:rPr>
            </w:pPr>
          </w:p>
        </w:tc>
      </w:tr>
      <w:tr w:rsidR="00F85FB3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4868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lastRenderedPageBreak/>
              <w:t>شرایط دانشجویانی که درس را می‌توانند اخذ کند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1092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2381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1094" w:type="pct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ماده چگال</w:t>
            </w:r>
          </w:p>
        </w:tc>
        <w:tc>
          <w:tcPr>
            <w:tcW w:w="1094" w:type="pct"/>
          </w:tcPr>
          <w:p w:rsidR="005C0385" w:rsidRPr="00F85FB3" w:rsidRDefault="008F3F27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5C0385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1092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نانوفیزیک</w:t>
            </w:r>
          </w:p>
        </w:tc>
        <w:tc>
          <w:tcPr>
            <w:tcW w:w="2381" w:type="pct"/>
          </w:tcPr>
          <w:p w:rsidR="005C0385" w:rsidRPr="00F85FB3" w:rsidRDefault="008F3F27" w:rsidP="008F3F27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نانوفیزیک</w:t>
            </w:r>
          </w:p>
        </w:tc>
        <w:tc>
          <w:tcPr>
            <w:tcW w:w="1094" w:type="pct"/>
          </w:tcPr>
          <w:p w:rsidR="005C0385" w:rsidRPr="00F85FB3" w:rsidRDefault="008F3F27" w:rsidP="00F85FB3">
            <w:pPr>
              <w:ind w:firstLine="0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دوم</w:t>
            </w:r>
          </w:p>
        </w:tc>
      </w:tr>
      <w:tr w:rsidR="00FC58F8" w:rsidRPr="00F85FB3" w:rsidTr="00C80187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34" w:type="pct"/>
          <w:wAfter w:w="98" w:type="pct"/>
        </w:trPr>
        <w:tc>
          <w:tcPr>
            <w:tcW w:w="30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1092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381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1094" w:type="pct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C80187">
        <w:trPr>
          <w:gridBefore w:val="1"/>
          <w:gridAfter w:val="1"/>
          <w:wBefore w:w="34" w:type="pct"/>
          <w:wAfter w:w="64" w:type="pct"/>
          <w:trHeight w:val="379"/>
        </w:trPr>
        <w:tc>
          <w:tcPr>
            <w:tcW w:w="4902" w:type="pct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764"/>
        </w:trPr>
        <w:tc>
          <w:tcPr>
            <w:tcW w:w="4902" w:type="pct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240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D13FFB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انجام تکلیف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345"/>
        </w:trPr>
        <w:tc>
          <w:tcPr>
            <w:tcW w:w="4902" w:type="pct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C80187">
        <w:trPr>
          <w:gridBefore w:val="1"/>
          <w:gridAfter w:val="1"/>
          <w:wBefore w:w="34" w:type="pct"/>
          <w:wAfter w:w="64" w:type="pct"/>
          <w:trHeight w:val="540"/>
        </w:trPr>
        <w:tc>
          <w:tcPr>
            <w:tcW w:w="4902" w:type="pct"/>
            <w:gridSpan w:val="5"/>
          </w:tcPr>
          <w:p w:rsidR="00A94048" w:rsidRPr="00C82905" w:rsidRDefault="00A94048" w:rsidP="00C80187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F752F8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tl/>
                <w:lang w:bidi="fa-IR"/>
              </w:rPr>
              <w:br w:type="page"/>
            </w:r>
            <w:r w:rsidR="00CB71E5" w:rsidRPr="00C80219">
              <w:rPr>
                <w:rFonts w:cs="B Titr" w:hint="cs"/>
                <w:b/>
                <w:bCs/>
                <w:rtl/>
                <w:lang w:bidi="fa-IR"/>
              </w:rPr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360B9C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360B9C" w:rsidP="0080757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52"/>
            </w: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187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360B9C">
              <w:rPr>
                <w:b/>
                <w:bCs/>
                <w:lang w:bidi="fa-IR"/>
              </w:rPr>
              <w:t xml:space="preserve">b.astinchap@uok.ac.ir 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6"/>
        <w:gridCol w:w="2355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C80187">
        <w:tc>
          <w:tcPr>
            <w:tcW w:w="302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جلسه</w:t>
            </w:r>
          </w:p>
        </w:tc>
        <w:tc>
          <w:tcPr>
            <w:tcW w:w="1069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C80187">
        <w:trPr>
          <w:trHeight w:val="1745"/>
        </w:trPr>
        <w:tc>
          <w:tcPr>
            <w:tcW w:w="302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69" w:type="pct"/>
            <w:shd w:val="clear" w:color="auto" w:fill="FFFFFF" w:themeFill="background1"/>
            <w:vAlign w:val="center"/>
          </w:tcPr>
          <w:p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160DF" w:rsidRPr="00C160DF">
              <w:rPr>
                <w:sz w:val="20"/>
                <w:szCs w:val="22"/>
                <w:lang w:bidi="fa-IR"/>
              </w:rPr>
              <w:t xml:space="preserve">  </w:t>
            </w:r>
            <w:r w:rsidR="00C160DF" w:rsidRPr="00C160DF">
              <w:rPr>
                <w:rFonts w:hint="cs"/>
                <w:sz w:val="20"/>
                <w:szCs w:val="22"/>
                <w:rtl/>
                <w:lang w:bidi="fa-IR"/>
              </w:rPr>
              <w:t>مفهوم نانوتکنوۀوژی و نانومواد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160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160DF" w:rsidRPr="00C160DF">
              <w:rPr>
                <w:rFonts w:hint="cs"/>
                <w:sz w:val="20"/>
                <w:szCs w:val="22"/>
                <w:rtl/>
                <w:lang w:bidi="fa-IR"/>
              </w:rPr>
              <w:t>هر چهار منبع</w:t>
            </w:r>
          </w:p>
        </w:tc>
        <w:tc>
          <w:tcPr>
            <w:tcW w:w="1295" w:type="pct"/>
            <w:vAlign w:val="center"/>
          </w:tcPr>
          <w:p w:rsidR="00C47146" w:rsidRPr="00582CCD" w:rsidRDefault="004C6E03" w:rsidP="00C160DF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تئوری/</w:t>
            </w:r>
            <w:r w:rsidR="00401CE6" w:rsidRPr="00582CCD">
              <w:rPr>
                <w:rFonts w:hint="cs"/>
                <w:sz w:val="20"/>
                <w:szCs w:val="22"/>
                <w:rtl/>
                <w:lang w:bidi="fa-IR"/>
              </w:rPr>
              <w:t>دکتر</w:t>
            </w:r>
            <w:r w:rsidR="00C160DF">
              <w:rPr>
                <w:rFonts w:hint="cs"/>
                <w:sz w:val="20"/>
                <w:szCs w:val="22"/>
                <w:rtl/>
                <w:lang w:bidi="fa-IR"/>
              </w:rPr>
              <w:t>بندر آستین چپ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26" w:type="pct"/>
            <w:vAlign w:val="center"/>
          </w:tcPr>
          <w:p w:rsidR="00C47146" w:rsidRPr="00582CCD" w:rsidRDefault="00C160DF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مفهوم نانوتکنولوژی و نانوساختارها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:rsidTr="00C80187">
        <w:tc>
          <w:tcPr>
            <w:tcW w:w="302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69" w:type="pct"/>
            <w:vAlign w:val="center"/>
          </w:tcPr>
          <w:p w:rsidR="00C47146" w:rsidRPr="00C160DF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C160DF">
              <w:rPr>
                <w:rFonts w:hint="cs"/>
                <w:sz w:val="20"/>
                <w:szCs w:val="22"/>
                <w:rtl/>
                <w:lang w:bidi="fa-IR"/>
              </w:rPr>
              <w:t xml:space="preserve"> انواع نانوذرات و ویزگی های انها</w:t>
            </w:r>
          </w:p>
          <w:p w:rsidR="00C47146" w:rsidRPr="00C80187" w:rsidRDefault="00C47146" w:rsidP="00C80187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160D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C160DF" w:rsidRPr="00C160DF">
              <w:rPr>
                <w:rFonts w:hint="cs"/>
                <w:sz w:val="20"/>
                <w:szCs w:val="22"/>
                <w:rtl/>
                <w:lang w:bidi="fa-IR"/>
              </w:rPr>
              <w:t>منابع ذکر شده</w:t>
            </w:r>
          </w:p>
        </w:tc>
        <w:tc>
          <w:tcPr>
            <w:tcW w:w="1295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C47146" w:rsidRPr="00582CCD" w:rsidRDefault="00C160DF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نانوذرات مختلف و آشنایی با خواص فیزیکی آنها</w:t>
            </w:r>
          </w:p>
        </w:tc>
        <w:tc>
          <w:tcPr>
            <w:tcW w:w="1208" w:type="pct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>روشهای ساخت نانوذرات: بالا به پایین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انواع روشهای ساخت بالا به پایین نانوذرات مختلف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روشهای ساخت نانوذرات:  پایین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به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بالا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</w:p>
          <w:p w:rsidR="00D159DE" w:rsidRPr="00582CCD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انواع روشهای ساخت پایین به بالا برای نانوذرات مختلف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>نقاط کوانتمی: خواص و کاربر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انواع نقاط کوانتمی و تفاوت آنها با نانوذرات و خواص و کاربردهای آنها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>روشهای ساخت نقاط کوانتمی و آنالیز آنها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شناخت انواع روشهای تولید نقاط کوانتمی و روشهای شناسایی آنها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69" w:type="pct"/>
            <w:vAlign w:val="center"/>
          </w:tcPr>
          <w:p w:rsidR="00D159DE" w:rsidRPr="00582CCD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Pr="00D159DE">
              <w:rPr>
                <w:rFonts w:hint="cs"/>
                <w:sz w:val="20"/>
                <w:szCs w:val="22"/>
                <w:rtl/>
                <w:lang w:bidi="fa-IR"/>
              </w:rPr>
              <w:t>نانوساختارهای کربنی: گرافن، تاریخچه، خواص و کاربرد آن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lastRenderedPageBreak/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گرافن به عنوان یک نانوساختار کربنی و خواص و کاربردهای مختلف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069" w:type="pct"/>
            <w:vAlign w:val="center"/>
          </w:tcPr>
          <w:p w:rsidR="00D159DE" w:rsidRPr="00D159DE" w:rsidRDefault="00D159DE" w:rsidP="00D159DE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روشهای تولید گرافن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C160DF">
              <w:rPr>
                <w:sz w:val="20"/>
                <w:szCs w:val="22"/>
                <w:rtl/>
                <w:lang w:bidi="fa-IR"/>
              </w:rPr>
              <w:t>تئور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C160DF">
              <w:rPr>
                <w:sz w:val="20"/>
                <w:szCs w:val="22"/>
                <w:rtl/>
                <w:lang w:bidi="fa-IR"/>
              </w:rPr>
              <w:t>/دکتربندر آست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>ین</w:t>
            </w:r>
            <w:r w:rsidRPr="00C160DF">
              <w:rPr>
                <w:sz w:val="20"/>
                <w:szCs w:val="22"/>
                <w:rtl/>
                <w:lang w:bidi="fa-IR"/>
              </w:rPr>
              <w:t xml:space="preserve"> چپ/کلاس---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انواع روشهای تولید گرافن و مزایا و معایب هر روش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D159DE" w:rsidTr="00C80187">
        <w:tc>
          <w:tcPr>
            <w:tcW w:w="302" w:type="pct"/>
            <w:vAlign w:val="center"/>
          </w:tcPr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159DE" w:rsidRDefault="00D159DE" w:rsidP="00D159D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69" w:type="pct"/>
            <w:vAlign w:val="center"/>
          </w:tcPr>
          <w:p w:rsidR="001B7C90" w:rsidRPr="00582CCD" w:rsidRDefault="00D159DE" w:rsidP="001B7C9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1B7C9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B7C90" w:rsidRPr="00D159DE">
              <w:rPr>
                <w:rFonts w:hint="cs"/>
                <w:sz w:val="20"/>
                <w:szCs w:val="22"/>
                <w:rtl/>
                <w:lang w:bidi="fa-IR"/>
              </w:rPr>
              <w:t xml:space="preserve"> نانوساختارهای کربنی: </w:t>
            </w:r>
            <w:r w:rsidR="001B7C90">
              <w:rPr>
                <w:rFonts w:hint="cs"/>
                <w:sz w:val="20"/>
                <w:szCs w:val="22"/>
                <w:rtl/>
                <w:lang w:bidi="fa-IR"/>
              </w:rPr>
              <w:t>نانولوله</w:t>
            </w:r>
            <w:r w:rsidR="001B7C90" w:rsidRPr="00D159DE">
              <w:rPr>
                <w:rFonts w:hint="cs"/>
                <w:sz w:val="20"/>
                <w:szCs w:val="22"/>
                <w:rtl/>
                <w:lang w:bidi="fa-IR"/>
              </w:rPr>
              <w:t>، تاریخچه، خواص و کاربرد آن</w:t>
            </w:r>
          </w:p>
          <w:p w:rsidR="00D159DE" w:rsidRPr="00C80187" w:rsidRDefault="00D159DE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D159DE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D159DE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نانولوله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به عنوان 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یک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نانوساختار کربن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و خواص و کاربردها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مختلف آن</w:t>
            </w:r>
          </w:p>
        </w:tc>
        <w:tc>
          <w:tcPr>
            <w:tcW w:w="1208" w:type="pct"/>
          </w:tcPr>
          <w:p w:rsidR="00D159DE" w:rsidRPr="00582CCD" w:rsidRDefault="00D159DE" w:rsidP="00D159D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69" w:type="pct"/>
            <w:vAlign w:val="center"/>
          </w:tcPr>
          <w:p w:rsidR="001B7C90" w:rsidRPr="001B7C90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>
              <w:rPr>
                <w:rtl/>
              </w:rPr>
              <w:t xml:space="preserve"> </w:t>
            </w:r>
            <w:r w:rsidRPr="001B7C90">
              <w:rPr>
                <w:sz w:val="20"/>
                <w:szCs w:val="22"/>
                <w:rtl/>
                <w:lang w:bidi="fa-IR"/>
              </w:rPr>
              <w:t>روشها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ید نانولوله کربنی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آشنا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با انواع روشها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ید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نانولوله کربنی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و مزا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یا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و معا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یب</w:t>
            </w:r>
            <w:r w:rsidRPr="001B7C90">
              <w:rPr>
                <w:sz w:val="20"/>
                <w:szCs w:val="22"/>
                <w:rtl/>
                <w:lang w:bidi="fa-IR"/>
              </w:rPr>
              <w:t xml:space="preserve"> هر روش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69" w:type="pct"/>
            <w:vAlign w:val="center"/>
          </w:tcPr>
          <w:p w:rsidR="001B7C90" w:rsidRPr="00686806" w:rsidRDefault="001B7C90" w:rsidP="001B7C9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86806">
              <w:rPr>
                <w:rFonts w:hint="cs"/>
                <w:sz w:val="20"/>
                <w:szCs w:val="22"/>
                <w:rtl/>
                <w:lang w:bidi="fa-IR"/>
              </w:rPr>
              <w:t xml:space="preserve"> فلورین، تاریخچه، خواص و کاربرد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68680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فلورین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به عنوان 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یک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نانوساختار کربن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و خواص و کاربردها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مختلف آن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8680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86806" w:rsidRPr="001B7C90">
              <w:rPr>
                <w:sz w:val="20"/>
                <w:szCs w:val="22"/>
                <w:rtl/>
                <w:lang w:bidi="fa-IR"/>
              </w:rPr>
              <w:t xml:space="preserve"> روشها</w:t>
            </w:r>
            <w:r w:rsidR="00686806"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="00686806" w:rsidRPr="001B7C90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="00686806" w:rsidRPr="001B7C90">
              <w:rPr>
                <w:rFonts w:hint="cs"/>
                <w:sz w:val="20"/>
                <w:szCs w:val="22"/>
                <w:rtl/>
                <w:lang w:bidi="fa-IR"/>
              </w:rPr>
              <w:t xml:space="preserve">ید </w:t>
            </w:r>
            <w:r w:rsidR="00686806">
              <w:rPr>
                <w:rFonts w:hint="cs"/>
                <w:sz w:val="20"/>
                <w:szCs w:val="22"/>
                <w:rtl/>
                <w:lang w:bidi="fa-IR"/>
              </w:rPr>
              <w:t>فلورین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686806" w:rsidP="00686806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686806">
              <w:rPr>
                <w:sz w:val="20"/>
                <w:szCs w:val="22"/>
                <w:rtl/>
                <w:lang w:bidi="fa-IR"/>
              </w:rPr>
              <w:t>آشنا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با انواع روشها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ید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فلورین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و مزا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یا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و معا</w:t>
            </w:r>
            <w:r w:rsidRPr="00686806">
              <w:rPr>
                <w:rFonts w:hint="cs"/>
                <w:sz w:val="20"/>
                <w:szCs w:val="22"/>
                <w:rtl/>
                <w:lang w:bidi="fa-IR"/>
              </w:rPr>
              <w:t>یب</w:t>
            </w:r>
            <w:r w:rsidRPr="00686806">
              <w:rPr>
                <w:sz w:val="20"/>
                <w:szCs w:val="22"/>
                <w:rtl/>
                <w:lang w:bidi="fa-IR"/>
              </w:rPr>
              <w:t xml:space="preserve"> هر روش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E0C33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5F7F54">
              <w:rPr>
                <w:rFonts w:hint="cs"/>
                <w:sz w:val="20"/>
                <w:szCs w:val="22"/>
                <w:rtl/>
                <w:lang w:bidi="fa-IR"/>
              </w:rPr>
              <w:t xml:space="preserve"> انواع نانوسیم ها و خواص آنها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5F7F54" w:rsidP="005F7F54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F7F54">
              <w:rPr>
                <w:sz w:val="20"/>
                <w:szCs w:val="22"/>
                <w:rtl/>
                <w:lang w:bidi="fa-IR"/>
              </w:rPr>
              <w:t>آشنا</w:t>
            </w:r>
            <w:r w:rsidRPr="005F7F54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5F7F54">
              <w:rPr>
                <w:sz w:val="20"/>
                <w:szCs w:val="22"/>
                <w:rtl/>
                <w:lang w:bidi="fa-IR"/>
              </w:rPr>
              <w:t xml:space="preserve"> با انواع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نانوسیم</w:t>
            </w:r>
            <w:r w:rsidRPr="005F7F54">
              <w:rPr>
                <w:sz w:val="20"/>
                <w:szCs w:val="22"/>
                <w:rtl/>
                <w:lang w:bidi="fa-IR"/>
              </w:rPr>
              <w:t xml:space="preserve"> و خواص و کاربردها</w:t>
            </w:r>
            <w:r w:rsidRPr="005F7F54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5F7F54">
              <w:rPr>
                <w:sz w:val="20"/>
                <w:szCs w:val="22"/>
                <w:rtl/>
                <w:lang w:bidi="fa-IR"/>
              </w:rPr>
              <w:t xml:space="preserve"> آنها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32A50">
              <w:rPr>
                <w:rtl/>
              </w:rPr>
              <w:t xml:space="preserve"> </w:t>
            </w:r>
            <w:r w:rsidR="00032A50" w:rsidRPr="00032A50">
              <w:rPr>
                <w:sz w:val="20"/>
                <w:szCs w:val="22"/>
                <w:rtl/>
                <w:lang w:bidi="fa-IR"/>
              </w:rPr>
              <w:t>روشها</w:t>
            </w:r>
            <w:r w:rsidR="00032A50" w:rsidRPr="00032A5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="00032A50" w:rsidRPr="00032A50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="00032A50" w:rsidRPr="00032A50">
              <w:rPr>
                <w:rFonts w:hint="cs"/>
                <w:sz w:val="20"/>
                <w:szCs w:val="22"/>
                <w:rtl/>
                <w:lang w:bidi="fa-IR"/>
              </w:rPr>
              <w:t>ید نانوسیم ها و کاربرد آنها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1B7C90" w:rsidRPr="00582CCD" w:rsidRDefault="00032A50" w:rsidP="00032A5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032A50">
              <w:rPr>
                <w:sz w:val="20"/>
                <w:szCs w:val="22"/>
                <w:rtl/>
                <w:lang w:bidi="fa-IR"/>
              </w:rPr>
              <w:t>آشنا</w:t>
            </w:r>
            <w:r w:rsidRPr="00032A50">
              <w:rPr>
                <w:rFonts w:hint="cs"/>
                <w:sz w:val="20"/>
                <w:szCs w:val="22"/>
                <w:rtl/>
                <w:lang w:bidi="fa-IR"/>
              </w:rPr>
              <w:t>یی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با انواع روشها</w:t>
            </w:r>
            <w:r w:rsidRPr="00032A5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تول</w:t>
            </w:r>
            <w:r w:rsidRPr="00032A50">
              <w:rPr>
                <w:rFonts w:hint="cs"/>
                <w:sz w:val="20"/>
                <w:szCs w:val="22"/>
                <w:rtl/>
                <w:lang w:bidi="fa-IR"/>
              </w:rPr>
              <w:t>ید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نانوسیم ها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و مزا</w:t>
            </w:r>
            <w:r w:rsidRPr="00032A50">
              <w:rPr>
                <w:rFonts w:hint="cs"/>
                <w:sz w:val="20"/>
                <w:szCs w:val="22"/>
                <w:rtl/>
                <w:lang w:bidi="fa-IR"/>
              </w:rPr>
              <w:t>یا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و معا</w:t>
            </w:r>
            <w:r w:rsidRPr="00032A50">
              <w:rPr>
                <w:rFonts w:hint="cs"/>
                <w:sz w:val="20"/>
                <w:szCs w:val="22"/>
                <w:rtl/>
                <w:lang w:bidi="fa-IR"/>
              </w:rPr>
              <w:t>یب</w:t>
            </w:r>
            <w:r w:rsidRPr="00032A50">
              <w:rPr>
                <w:sz w:val="20"/>
                <w:szCs w:val="22"/>
                <w:rtl/>
                <w:lang w:bidi="fa-IR"/>
              </w:rPr>
              <w:t xml:space="preserve"> هر روش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و کاربرد نانوسیم ها</w:t>
            </w: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1B7C90" w:rsidTr="00C80187">
        <w:tc>
          <w:tcPr>
            <w:tcW w:w="302" w:type="pct"/>
            <w:vAlign w:val="center"/>
          </w:tcPr>
          <w:p w:rsidR="001B7C90" w:rsidRDefault="001B7C90" w:rsidP="001B7C9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1069" w:type="pct"/>
            <w:vAlign w:val="center"/>
          </w:tcPr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32A50">
              <w:rPr>
                <w:rFonts w:hint="cs"/>
                <w:sz w:val="20"/>
                <w:szCs w:val="22"/>
                <w:rtl/>
                <w:lang w:bidi="fa-IR"/>
              </w:rPr>
              <w:t xml:space="preserve"> نانوکامپوزیتها، خواص، کاربرد و روشهای ساخت</w:t>
            </w:r>
          </w:p>
          <w:p w:rsidR="001B7C90" w:rsidRPr="00C80187" w:rsidRDefault="001B7C90" w:rsidP="00C8018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Pr="00C160DF">
              <w:rPr>
                <w:rFonts w:hint="cs"/>
                <w:sz w:val="20"/>
                <w:szCs w:val="22"/>
                <w:rtl/>
                <w:lang w:bidi="fa-IR"/>
              </w:rPr>
              <w:t xml:space="preserve"> منابع ذکر شده</w:t>
            </w:r>
          </w:p>
        </w:tc>
        <w:tc>
          <w:tcPr>
            <w:tcW w:w="1295" w:type="pct"/>
            <w:vAlign w:val="center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1B7C90">
              <w:rPr>
                <w:sz w:val="20"/>
                <w:szCs w:val="22"/>
                <w:rtl/>
                <w:lang w:bidi="fa-IR"/>
              </w:rPr>
              <w:t>تئور</w:t>
            </w:r>
            <w:r w:rsidRPr="001B7C9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1B7C90">
              <w:rPr>
                <w:sz w:val="20"/>
                <w:szCs w:val="22"/>
                <w:rtl/>
                <w:lang w:bidi="fa-IR"/>
              </w:rPr>
              <w:t>/دکتر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زهرا عالمی پور</w:t>
            </w:r>
            <w:r w:rsidRPr="001B7C90">
              <w:rPr>
                <w:sz w:val="20"/>
                <w:szCs w:val="22"/>
                <w:rtl/>
                <w:lang w:bidi="fa-IR"/>
              </w:rPr>
              <w:t>/کلاس---</w:t>
            </w:r>
          </w:p>
        </w:tc>
        <w:tc>
          <w:tcPr>
            <w:tcW w:w="1126" w:type="pct"/>
            <w:vAlign w:val="center"/>
          </w:tcPr>
          <w:p w:rsidR="00032A50" w:rsidRPr="00032A50" w:rsidRDefault="00032A50" w:rsidP="00032A50">
            <w:pPr>
              <w:shd w:val="clear" w:color="auto" w:fill="F2F2F2" w:themeFill="background1" w:themeFillShade="F2"/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آشنایی با انواع نانوکامپوزیت  خواص، کاربرد و روشهای ساخت آنها</w:t>
            </w:r>
          </w:p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1B7C90" w:rsidRPr="00582CCD" w:rsidRDefault="001B7C90" w:rsidP="001B7C9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Pr="005F7A96" w:rsidRDefault="005F7A96" w:rsidP="00C80187">
      <w:pPr>
        <w:ind w:firstLine="0"/>
        <w:rPr>
          <w:lang w:bidi="fa-IR"/>
        </w:rPr>
      </w:pPr>
      <w:bookmarkStart w:id="0" w:name="_GoBack"/>
      <w:bookmarkEnd w:id="0"/>
    </w:p>
    <w:sectPr w:rsidR="005F7A96" w:rsidRPr="005F7A96" w:rsidSect="00444A73">
      <w:footerReference w:type="default" r:id="rId11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9A3" w:rsidRDefault="005719A3" w:rsidP="00061A9B">
      <w:pPr>
        <w:spacing w:after="0"/>
      </w:pPr>
      <w:r>
        <w:separator/>
      </w:r>
    </w:p>
  </w:endnote>
  <w:endnote w:type="continuationSeparator" w:id="0">
    <w:p w:rsidR="005719A3" w:rsidRDefault="005719A3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C80187">
      <w:rPr>
        <w:noProof/>
        <w:rtl/>
        <w:lang w:bidi="fa-IR"/>
      </w:rPr>
      <w:t>4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9A3" w:rsidRDefault="005719A3" w:rsidP="00061A9B">
      <w:pPr>
        <w:spacing w:after="0"/>
      </w:pPr>
      <w:r>
        <w:separator/>
      </w:r>
    </w:p>
  </w:footnote>
  <w:footnote w:type="continuationSeparator" w:id="0">
    <w:p w:rsidR="005719A3" w:rsidRDefault="005719A3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32A50"/>
    <w:rsid w:val="00047C80"/>
    <w:rsid w:val="00055FF1"/>
    <w:rsid w:val="00061A9B"/>
    <w:rsid w:val="000B6B37"/>
    <w:rsid w:val="0013501B"/>
    <w:rsid w:val="00165901"/>
    <w:rsid w:val="0018085B"/>
    <w:rsid w:val="001820FC"/>
    <w:rsid w:val="00192BA1"/>
    <w:rsid w:val="00197896"/>
    <w:rsid w:val="001A4CEF"/>
    <w:rsid w:val="001B1F97"/>
    <w:rsid w:val="001B7C90"/>
    <w:rsid w:val="001E2DA0"/>
    <w:rsid w:val="001F48E0"/>
    <w:rsid w:val="00205A22"/>
    <w:rsid w:val="00211920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49C5"/>
    <w:rsid w:val="00310008"/>
    <w:rsid w:val="00336FDF"/>
    <w:rsid w:val="00355E72"/>
    <w:rsid w:val="003602A3"/>
    <w:rsid w:val="00360B9C"/>
    <w:rsid w:val="00362863"/>
    <w:rsid w:val="00363035"/>
    <w:rsid w:val="00370ACB"/>
    <w:rsid w:val="00374B8D"/>
    <w:rsid w:val="003B7E12"/>
    <w:rsid w:val="00401CE6"/>
    <w:rsid w:val="00444A73"/>
    <w:rsid w:val="00466747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19A3"/>
    <w:rsid w:val="0057626B"/>
    <w:rsid w:val="00582CCD"/>
    <w:rsid w:val="00584D52"/>
    <w:rsid w:val="00591019"/>
    <w:rsid w:val="005A7B23"/>
    <w:rsid w:val="005C0385"/>
    <w:rsid w:val="005D0BB3"/>
    <w:rsid w:val="005D7AAE"/>
    <w:rsid w:val="005F7A96"/>
    <w:rsid w:val="005F7F54"/>
    <w:rsid w:val="00605B7A"/>
    <w:rsid w:val="00611622"/>
    <w:rsid w:val="00686806"/>
    <w:rsid w:val="006B4949"/>
    <w:rsid w:val="006F33D4"/>
    <w:rsid w:val="007146CC"/>
    <w:rsid w:val="0072301F"/>
    <w:rsid w:val="007317DD"/>
    <w:rsid w:val="00735D11"/>
    <w:rsid w:val="00766300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0C33"/>
    <w:rsid w:val="008E6B14"/>
    <w:rsid w:val="008F3F27"/>
    <w:rsid w:val="00914703"/>
    <w:rsid w:val="00923803"/>
    <w:rsid w:val="009273CC"/>
    <w:rsid w:val="0098549E"/>
    <w:rsid w:val="0099014B"/>
    <w:rsid w:val="009A4FA1"/>
    <w:rsid w:val="009C0041"/>
    <w:rsid w:val="009C2719"/>
    <w:rsid w:val="009F0C76"/>
    <w:rsid w:val="009F1DA8"/>
    <w:rsid w:val="00A51E3F"/>
    <w:rsid w:val="00A52353"/>
    <w:rsid w:val="00A94048"/>
    <w:rsid w:val="00AA0E60"/>
    <w:rsid w:val="00AB3C79"/>
    <w:rsid w:val="00AC5599"/>
    <w:rsid w:val="00AD40DF"/>
    <w:rsid w:val="00AF4840"/>
    <w:rsid w:val="00B01882"/>
    <w:rsid w:val="00B53F72"/>
    <w:rsid w:val="00B77E9C"/>
    <w:rsid w:val="00BA374A"/>
    <w:rsid w:val="00BF2A62"/>
    <w:rsid w:val="00C160DF"/>
    <w:rsid w:val="00C26748"/>
    <w:rsid w:val="00C31DF2"/>
    <w:rsid w:val="00C34844"/>
    <w:rsid w:val="00C44141"/>
    <w:rsid w:val="00C47146"/>
    <w:rsid w:val="00C60107"/>
    <w:rsid w:val="00C80187"/>
    <w:rsid w:val="00C80219"/>
    <w:rsid w:val="00C82905"/>
    <w:rsid w:val="00CA7546"/>
    <w:rsid w:val="00CB0411"/>
    <w:rsid w:val="00CB71E5"/>
    <w:rsid w:val="00CC6FDA"/>
    <w:rsid w:val="00CE1F98"/>
    <w:rsid w:val="00D13FFB"/>
    <w:rsid w:val="00D159DE"/>
    <w:rsid w:val="00D2144D"/>
    <w:rsid w:val="00D45B4E"/>
    <w:rsid w:val="00D50B2B"/>
    <w:rsid w:val="00D60A58"/>
    <w:rsid w:val="00D94AE4"/>
    <w:rsid w:val="00DB0346"/>
    <w:rsid w:val="00DB0DFA"/>
    <w:rsid w:val="00DF0011"/>
    <w:rsid w:val="00E0387B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780AA-E4A5-488C-9600-F370E2A57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creator>Hamid Farvaresh</dc:creator>
  <cp:lastModifiedBy>Fardis Rayaneh</cp:lastModifiedBy>
  <cp:revision>13</cp:revision>
  <cp:lastPrinted>2018-07-09T15:10:00Z</cp:lastPrinted>
  <dcterms:created xsi:type="dcterms:W3CDTF">2019-04-17T06:09:00Z</dcterms:created>
  <dcterms:modified xsi:type="dcterms:W3CDTF">2019-04-17T07:44:00Z</dcterms:modified>
</cp:coreProperties>
</file>