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87DA0" w:rsidP="00D50B2B">
      <w:pPr>
        <w:ind w:firstLine="0"/>
        <w:jc w:val="center"/>
        <w:rPr>
          <w:noProof/>
          <w:sz w:val="30"/>
          <w:szCs w:val="30"/>
          <w:rtl/>
        </w:rPr>
      </w:pPr>
    </w:p>
    <w:p w:rsidR="00172809" w:rsidRDefault="00172809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F0D75" w:rsidP="00B115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منابع طبیعی</w:t>
            </w:r>
          </w:p>
        </w:tc>
        <w:tc>
          <w:tcPr>
            <w:tcW w:w="507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6F0D75" w:rsidP="006F0D7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B115BB">
              <w:rPr>
                <w:rFonts w:hint="cs"/>
                <w:rtl/>
                <w:lang w:bidi="fa-IR"/>
              </w:rPr>
              <w:t xml:space="preserve"> ها ساعت </w:t>
            </w:r>
            <w:r>
              <w:rPr>
                <w:rFonts w:hint="cs"/>
                <w:rtl/>
                <w:lang w:bidi="fa-IR"/>
              </w:rPr>
              <w:t xml:space="preserve">8 </w:t>
            </w:r>
            <w:r w:rsidR="00B115BB">
              <w:rPr>
                <w:rFonts w:hint="cs"/>
                <w:rtl/>
                <w:lang w:bidi="fa-IR"/>
              </w:rPr>
              <w:t xml:space="preserve"> الی </w:t>
            </w:r>
            <w:r>
              <w:rPr>
                <w:rFonts w:hint="cs"/>
                <w:rtl/>
                <w:lang w:bidi="fa-IR"/>
              </w:rPr>
              <w:t xml:space="preserve">10 </w:t>
            </w:r>
            <w:r w:rsidR="00B115BB">
              <w:rPr>
                <w:rFonts w:hint="cs"/>
                <w:rtl/>
                <w:lang w:bidi="fa-IR"/>
              </w:rPr>
              <w:t>(2 واحد تئوری) و یک بازدید یکروز</w:t>
            </w:r>
            <w:r w:rsidR="00172809">
              <w:rPr>
                <w:rFonts w:hint="cs"/>
                <w:rtl/>
                <w:lang w:bidi="fa-IR"/>
              </w:rPr>
              <w:t>ه</w:t>
            </w:r>
            <w:r w:rsidR="00B115BB">
              <w:rPr>
                <w:rFonts w:hint="cs"/>
                <w:rtl/>
                <w:lang w:bidi="fa-IR"/>
              </w:rPr>
              <w:t xml:space="preserve"> (1 واحد عملی)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10E0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115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(2 واحد تئوری</w:t>
            </w:r>
            <w:r>
              <w:rPr>
                <w:rFonts w:cs="Times New Roman"/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 xml:space="preserve"> 1 واحد عملی)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6F0D7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10E0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6F0D75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B115BB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Default="00C16AA2" w:rsidP="0017280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72809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72809" w:rsidP="0017280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مرسوم نظیر اکسل</w:t>
            </w:r>
          </w:p>
          <w:p w:rsidR="00C44141" w:rsidRPr="00055FF1" w:rsidRDefault="00172809" w:rsidP="00624517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624517">
              <w:rPr>
                <w:rFonts w:hint="cs"/>
                <w:rtl/>
                <w:lang w:bidi="fa-IR"/>
              </w:rPr>
              <w:t xml:space="preserve">درک </w:t>
            </w:r>
            <w:r>
              <w:rPr>
                <w:rFonts w:hint="cs"/>
                <w:rtl/>
                <w:lang w:bidi="fa-IR"/>
              </w:rPr>
              <w:t>منابع</w:t>
            </w:r>
            <w:r w:rsidR="00624517">
              <w:rPr>
                <w:rFonts w:hint="cs"/>
                <w:rtl/>
                <w:lang w:bidi="fa-IR"/>
              </w:rPr>
              <w:t xml:space="preserve"> طبیعی و </w:t>
            </w:r>
            <w:r w:rsidR="00624517">
              <w:rPr>
                <w:rFonts w:hint="cs"/>
                <w:rtl/>
                <w:lang w:bidi="fa-IR"/>
              </w:rPr>
              <w:t>چالش</w:t>
            </w:r>
            <w:r w:rsidR="00624517">
              <w:rPr>
                <w:rFonts w:hint="cs"/>
                <w:rtl/>
                <w:lang w:bidi="fa-IR"/>
              </w:rPr>
              <w:t xml:space="preserve">ی که </w:t>
            </w:r>
            <w:r w:rsidR="00624517">
              <w:rPr>
                <w:rFonts w:hint="cs"/>
                <w:rtl/>
                <w:lang w:bidi="fa-IR"/>
              </w:rPr>
              <w:t>انسان</w:t>
            </w:r>
            <w:r w:rsidR="00624517">
              <w:rPr>
                <w:rFonts w:hint="cs"/>
                <w:rtl/>
                <w:lang w:bidi="fa-IR"/>
              </w:rPr>
              <w:t xml:space="preserve"> متوجه آن نموده است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15B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115B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115BB">
              <w:rPr>
                <w:rFonts w:hint="cs"/>
                <w:rtl/>
                <w:lang w:bidi="fa-IR"/>
              </w:rPr>
              <w:t xml:space="preserve">: </w:t>
            </w:r>
            <w:r w:rsidR="003D04C4">
              <w:rPr>
                <w:sz w:val="18"/>
                <w:szCs w:val="18"/>
                <w:lang w:bidi="fa-IR"/>
              </w:rPr>
              <w:t>Miller, G.T.,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</w:t>
            </w:r>
            <w:r w:rsidR="00624517">
              <w:rPr>
                <w:sz w:val="18"/>
                <w:szCs w:val="18"/>
                <w:lang w:bidi="fa-IR"/>
              </w:rPr>
              <w:t xml:space="preserve">2007. </w:t>
            </w:r>
            <w:r w:rsidR="00B115BB" w:rsidRPr="00B115BB">
              <w:rPr>
                <w:sz w:val="18"/>
                <w:szCs w:val="18"/>
                <w:lang w:bidi="fa-IR"/>
              </w:rPr>
              <w:t>Living in the environment</w:t>
            </w:r>
            <w:r w:rsidR="00624517">
              <w:rPr>
                <w:sz w:val="18"/>
                <w:szCs w:val="18"/>
                <w:lang w:bidi="fa-IR"/>
              </w:rPr>
              <w:t>, 5</w:t>
            </w:r>
            <w:r w:rsidR="00624517" w:rsidRPr="00624517">
              <w:rPr>
                <w:sz w:val="18"/>
                <w:szCs w:val="18"/>
                <w:vertAlign w:val="superscript"/>
                <w:lang w:bidi="fa-IR"/>
              </w:rPr>
              <w:t>th</w:t>
            </w:r>
            <w:r w:rsidR="00624517">
              <w:rPr>
                <w:sz w:val="18"/>
                <w:szCs w:val="18"/>
                <w:lang w:bidi="fa-IR"/>
              </w:rPr>
              <w:t xml:space="preserve"> ed</w:t>
            </w:r>
            <w:r w:rsidR="003D04C4">
              <w:rPr>
                <w:sz w:val="18"/>
                <w:szCs w:val="18"/>
                <w:lang w:bidi="fa-IR"/>
              </w:rPr>
              <w:t>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Thomson Corporation, Toronto, Ontario, Canada.</w:t>
            </w:r>
          </w:p>
          <w:p w:rsidR="00624517" w:rsidRDefault="00624517" w:rsidP="00E6127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2: وهاب زاده</w:t>
            </w:r>
            <w:r>
              <w:rPr>
                <w:rFonts w:hint="cs"/>
                <w:rtl/>
                <w:lang w:bidi="fa-IR"/>
              </w:rPr>
              <w:t xml:space="preserve"> ع.</w:t>
            </w:r>
            <w:r>
              <w:rPr>
                <w:rFonts w:hint="cs"/>
                <w:rtl/>
                <w:lang w:bidi="fa-IR"/>
              </w:rPr>
              <w:t>، 1382، شناخت محیط زیست، جهاد دانشگاهی مشهد</w:t>
            </w:r>
          </w:p>
          <w:p w:rsidR="003354EE" w:rsidRDefault="00624517" w:rsidP="0062451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 کوچکی ع.، 1382، بوم شناسی محیط زیست، دانشگاه فردوسی مشهد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040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CE6832" w:rsidP="00D976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</w:t>
            </w:r>
            <w:r w:rsidR="00624517">
              <w:rPr>
                <w:rFonts w:ascii="TimesNewRoman,Bold" w:hAnsi="TimesNewRoman,Bold" w:hint="cs"/>
                <w:rtl/>
                <w:lang w:bidi="fa-IR"/>
              </w:rPr>
              <w:t xml:space="preserve">درک مناسبی از منابع طبیعی </w:t>
            </w:r>
            <w:r w:rsidR="00D976CA">
              <w:rPr>
                <w:rFonts w:ascii="TimesNewRoman,Bold" w:hAnsi="TimesNewRoman,Bold" w:hint="cs"/>
                <w:rtl/>
                <w:lang w:bidi="fa-IR"/>
              </w:rPr>
              <w:t>پیدا کند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E504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 امکانات زمین را از حیث تامین و پشتیبانی نیازهای حیاتی جامعه  انسانی برآورد نماید.</w:t>
            </w:r>
          </w:p>
          <w:p w:rsidR="00A51E3F" w:rsidRDefault="00D976CA" w:rsidP="00D976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کلی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اثراتی که </w:t>
            </w:r>
            <w:r>
              <w:rPr>
                <w:rFonts w:ascii="TimesNewRoman,Bold" w:hAnsi="TimesNewRoman,Bold" w:hint="cs"/>
                <w:rtl/>
                <w:lang w:bidi="fa-IR"/>
              </w:rPr>
              <w:t>انسان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میتواند بر توازن </w:t>
            </w:r>
            <w:r w:rsidR="00607EA7">
              <w:rPr>
                <w:rFonts w:ascii="TimesNewRoman,Bold" w:hAnsi="TimesNewRoman,Bold" w:hint="cs"/>
                <w:rtl/>
                <w:lang w:bidi="fa-IR"/>
              </w:rPr>
              <w:t xml:space="preserve">و پایداری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منابع زمین داشته باشد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درک </w:t>
            </w:r>
            <w:r>
              <w:rPr>
                <w:rFonts w:ascii="TimesNewRoman,Bold" w:hAnsi="TimesNewRoman,Bold" w:hint="cs"/>
                <w:rtl/>
                <w:lang w:bidi="fa-IR"/>
              </w:rPr>
              <w:t>نماید.</w:t>
            </w:r>
          </w:p>
          <w:p w:rsidR="00A51E3F" w:rsidRPr="001F48E0" w:rsidRDefault="00A51E3F" w:rsidP="00D976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مسائل </w:t>
            </w:r>
            <w:r w:rsidR="00D976CA">
              <w:rPr>
                <w:rFonts w:ascii="TimesNewRoman,Bold" w:hAnsi="TimesNewRoman,Bold" w:hint="cs"/>
                <w:rtl/>
                <w:lang w:bidi="fa-IR"/>
              </w:rPr>
              <w:t>و مشکلات برآمده از چالش میان انسان و منابع زمینی با اتخاذ تفکری سیستمی راهبرد مناسبی بیابد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976CA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مفهوم و ماهیت منابع، سرمایه ها و خدمات طبیعی</w:t>
            </w:r>
          </w:p>
          <w:p w:rsidR="00D976CA" w:rsidRDefault="00D976CA" w:rsidP="00607EA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نیازهای انسانی به استفاده از منابع طبیعی</w:t>
            </w:r>
          </w:p>
          <w:p w:rsidR="00D976CA" w:rsidRDefault="00D976CA" w:rsidP="00607EA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چالشهایی که نیازهای فوق بر منابع زمینی تحمیل میکنند</w:t>
            </w:r>
          </w:p>
          <w:p w:rsidR="00A51E3F" w:rsidRDefault="00D976CA" w:rsidP="00D976CA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مفهوم توازن میان نیازهای انسانی و منابع طبیعی</w:t>
            </w:r>
          </w:p>
          <w:p w:rsidR="00D976CA" w:rsidRPr="00D976CA" w:rsidRDefault="00D976CA" w:rsidP="00D976C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راهکارهایی برای رسیدن به توازن فوق الذکر به تفکیک منابع طبیعی تجدید شونده و غیرقابل تجدید</w:t>
            </w:r>
          </w:p>
          <w:p w:rsidR="00A51E3F" w:rsidRPr="001F48E0" w:rsidRDefault="00A51E3F" w:rsidP="0017280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172809">
              <w:rPr>
                <w:rFonts w:hint="cs"/>
                <w:rtl/>
                <w:lang w:bidi="fa-IR"/>
              </w:rPr>
              <w:t xml:space="preserve"> ارزیابی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5A03C7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60%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2809">
              <w:rPr>
                <w:rFonts w:hint="cs"/>
                <w:rtl/>
                <w:lang w:bidi="fa-IR"/>
              </w:rPr>
              <w:t>10%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C701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C701F7">
              <w:rPr>
                <w:rFonts w:hint="cs"/>
                <w:rtl/>
                <w:lang w:bidi="fa-IR"/>
              </w:rPr>
              <w:t>یکی از هفته های ششم تا دهم انجام میشود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5A03C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10%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5A03C7" w:rsidRDefault="00CB71E5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حضور فعال کلاسی برنام ریزی میشود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="00517F05"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2A636E" w:rsidRDefault="0087319C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نمرات تشویقی</w:t>
            </w:r>
          </w:p>
          <w:p w:rsidR="005A03C7" w:rsidRDefault="005A03C7" w:rsidP="005A03C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</w:t>
            </w:r>
            <w:r w:rsidR="00C701F7">
              <w:rPr>
                <w:rFonts w:hint="cs"/>
                <w:rtl/>
                <w:lang w:bidi="fa-IR"/>
              </w:rPr>
              <w:t xml:space="preserve"> و انجام تکلیف</w:t>
            </w:r>
          </w:p>
          <w:p w:rsidR="004D5045" w:rsidRDefault="0087319C" w:rsidP="00C701F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C701F7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انجام پروژه</w:t>
            </w:r>
            <w:r w:rsidR="00C701F7">
              <w:rPr>
                <w:rFonts w:hint="cs"/>
                <w:rtl/>
                <w:lang w:bidi="fa-IR"/>
              </w:rPr>
              <w:t xml:space="preserve"> نظیر</w:t>
            </w:r>
            <w:r w:rsidR="00EF67CA"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A03C7">
              <w:rPr>
                <w:rFonts w:hint="cs"/>
                <w:rtl/>
                <w:lang w:bidi="fa-IR"/>
              </w:rPr>
              <w:t xml:space="preserve">جمعیت </w:t>
            </w:r>
            <w:r w:rsidR="005A03C7">
              <w:rPr>
                <w:rFonts w:hint="cs"/>
                <w:rtl/>
                <w:lang w:bidi="fa-IR"/>
              </w:rPr>
              <w:lastRenderedPageBreak/>
              <w:t>شناسی</w:t>
            </w:r>
            <w:r w:rsidR="00C701F7">
              <w:rPr>
                <w:rFonts w:hint="cs"/>
                <w:rtl/>
                <w:lang w:bidi="fa-IR"/>
              </w:rPr>
              <w:t xml:space="preserve"> در</w:t>
            </w:r>
            <w:r w:rsidR="005A03C7">
              <w:rPr>
                <w:rFonts w:hint="cs"/>
                <w:rtl/>
                <w:lang w:bidi="fa-IR"/>
              </w:rPr>
              <w:t xml:space="preserve"> ارزیابی موازنه </w:t>
            </w:r>
            <w:r w:rsidR="00C701F7">
              <w:rPr>
                <w:rFonts w:hint="cs"/>
                <w:rtl/>
                <w:lang w:bidi="fa-IR"/>
              </w:rPr>
              <w:t xml:space="preserve">بین </w:t>
            </w:r>
            <w:r w:rsidR="005A03C7">
              <w:rPr>
                <w:rFonts w:hint="cs"/>
                <w:rtl/>
                <w:lang w:bidi="fa-IR"/>
              </w:rPr>
              <w:t xml:space="preserve">جمعیت و </w:t>
            </w:r>
            <w:r w:rsidR="00C701F7">
              <w:rPr>
                <w:rFonts w:hint="cs"/>
                <w:rtl/>
                <w:lang w:bidi="fa-IR"/>
              </w:rPr>
              <w:t xml:space="preserve">منابع </w:t>
            </w:r>
            <w:r w:rsidR="005A03C7">
              <w:rPr>
                <w:rFonts w:hint="cs"/>
                <w:rtl/>
                <w:lang w:bidi="fa-IR"/>
              </w:rPr>
              <w:t>محیط زیست</w:t>
            </w:r>
            <w:r w:rsidR="00C701F7">
              <w:rPr>
                <w:rFonts w:hint="cs"/>
                <w:rtl/>
                <w:lang w:bidi="fa-IR"/>
              </w:rPr>
              <w:t xml:space="preserve"> را</w:t>
            </w:r>
            <w:r w:rsidR="008C3AB5">
              <w:rPr>
                <w:rFonts w:hint="cs"/>
                <w:rtl/>
                <w:lang w:bidi="fa-IR"/>
              </w:rPr>
              <w:t xml:space="preserve"> نشان دهد و </w:t>
            </w:r>
            <w:r w:rsidR="00EF67CA">
              <w:rPr>
                <w:rFonts w:hint="cs"/>
                <w:rtl/>
                <w:lang w:bidi="fa-IR"/>
              </w:rPr>
              <w:t xml:space="preserve">هر موردی که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</w:t>
            </w:r>
            <w:r w:rsidR="00C701F7">
              <w:rPr>
                <w:rFonts w:hint="cs"/>
                <w:rtl/>
                <w:lang w:bidi="fa-IR"/>
              </w:rPr>
              <w:t xml:space="preserve"> موضوع انسان و محیط زیست را باعث گردد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92814" w:rsidP="005A03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8" w:history="1">
              <w:r w:rsidR="005A03C7" w:rsidRPr="000E5797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A03C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5A03C7"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 xml:space="preserve"> (شنبه ها ساعت 10 الی 12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A03C7" w:rsidRDefault="00A51E3F" w:rsidP="005A03C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01F7" w:rsidP="00C701F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</w:t>
            </w:r>
            <w:r w:rsidR="006008A6">
              <w:rPr>
                <w:rFonts w:ascii="TimesNewRoman,Bold" w:hAnsi="TimesNewRoman,Bold" w:hint="cs"/>
                <w:rtl/>
                <w:lang w:bidi="fa-IR"/>
              </w:rPr>
              <w:t xml:space="preserve"> در برخی جلسات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انجام تکالیفی از دانشجویان خواسته خواهد شد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96" w:type="pct"/>
        <w:tblLook w:val="04A0" w:firstRow="1" w:lastRow="0" w:firstColumn="1" w:lastColumn="0" w:noHBand="0" w:noVBand="1"/>
      </w:tblPr>
      <w:tblGrid>
        <w:gridCol w:w="55"/>
        <w:gridCol w:w="737"/>
        <w:gridCol w:w="4711"/>
        <w:gridCol w:w="1699"/>
        <w:gridCol w:w="3042"/>
        <w:gridCol w:w="485"/>
        <w:gridCol w:w="52"/>
      </w:tblGrid>
      <w:tr w:rsidR="007C4B7C" w:rsidTr="000C7698">
        <w:trPr>
          <w:gridAfter w:val="1"/>
          <w:wAfter w:w="24" w:type="pct"/>
          <w:trHeight w:val="335"/>
        </w:trPr>
        <w:tc>
          <w:tcPr>
            <w:tcW w:w="4976" w:type="pct"/>
            <w:gridSpan w:val="6"/>
            <w:shd w:val="clear" w:color="auto" w:fill="D9D9D9" w:themeFill="background1" w:themeFillShade="D9"/>
            <w:vAlign w:val="center"/>
          </w:tcPr>
          <w:p w:rsidR="00BA374A" w:rsidRPr="00BA374A" w:rsidRDefault="000C7698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700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8" w:type="pct"/>
            <w:gridSpan w:val="2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C7698">
        <w:trPr>
          <w:gridBefore w:val="1"/>
          <w:wBefore w:w="25" w:type="pct"/>
          <w:trHeight w:val="1697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A861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86115" w:rsidRPr="000531E3" w:rsidRDefault="00A86115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531E3">
              <w:rPr>
                <w:rFonts w:hint="cs"/>
                <w:rtl/>
                <w:lang w:bidi="fa-IR"/>
              </w:rPr>
              <w:t>تعریف منابع طبیعی و تفاوت میان ذخایر و منابع طبیعی (سرمایه ها و خدمات)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A86115" w:rsidP="000531E3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1 </w:t>
            </w:r>
            <w:r w:rsidR="000531E3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A86115" w:rsidP="00B450D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 و تقسیم بندی منابع طبیعی تجدید شونده  غیر قابل تجدید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50DA" w:rsidRPr="00B450DA" w:rsidRDefault="00A86115" w:rsidP="00D6536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0531E3">
              <w:rPr>
                <w:rFonts w:hint="cs"/>
                <w:rtl/>
                <w:lang w:bidi="fa-IR"/>
              </w:rPr>
              <w:t xml:space="preserve">1 </w:t>
            </w:r>
            <w:r w:rsidR="00D65362">
              <w:rPr>
                <w:rFonts w:hint="cs"/>
                <w:rtl/>
                <w:lang w:bidi="fa-IR"/>
              </w:rPr>
              <w:t>فصل های 13 الی 17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75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234E" w:rsidRPr="001F234E" w:rsidRDefault="00A86115" w:rsidP="00B450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شناخت منابع تجدید پذیر و غیر قابل تجدید و نقش آن در زندگی انسان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450DA">
              <w:rPr>
                <w:rFonts w:hint="cs"/>
                <w:rtl/>
                <w:lang w:bidi="fa-IR"/>
              </w:rPr>
              <w:t xml:space="preserve"> </w:t>
            </w:r>
          </w:p>
          <w:p w:rsidR="00B450DA" w:rsidRPr="00B450DA" w:rsidRDefault="00B2639A" w:rsidP="00D6536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531E3">
              <w:rPr>
                <w:rFonts w:hint="cs"/>
                <w:rtl/>
                <w:lang w:bidi="fa-IR"/>
              </w:rPr>
              <w:t>مرجع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531E3">
              <w:rPr>
                <w:rFonts w:hint="cs"/>
                <w:rtl/>
                <w:lang w:bidi="fa-IR"/>
              </w:rPr>
              <w:t xml:space="preserve">1 </w:t>
            </w:r>
            <w:r w:rsidR="00D65362">
              <w:rPr>
                <w:rFonts w:hint="cs"/>
                <w:rtl/>
                <w:lang w:bidi="fa-IR"/>
              </w:rPr>
              <w:t>فصل های 13 الی 17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F0D75" w:rsidRDefault="00B2639A" w:rsidP="00B263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منابع طبیعی غیر جاندار (آب، خاک و هوا)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D65362" w:rsidP="009841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های 14 الی 17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2639A" w:rsidP="00EE42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منابع طبیعی زنده (</w:t>
            </w:r>
            <w:r w:rsidR="00EE427C">
              <w:rPr>
                <w:rFonts w:hint="cs"/>
                <w:rtl/>
                <w:lang w:bidi="fa-IR"/>
              </w:rPr>
              <w:t>گیاهان،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E427C">
              <w:rPr>
                <w:rFonts w:hint="cs"/>
                <w:rtl/>
                <w:lang w:bidi="fa-IR"/>
              </w:rPr>
              <w:t>جانوران و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D6536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های 5 الی 9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5" w:type="pct"/>
            <w:vAlign w:val="center"/>
          </w:tcPr>
          <w:p w:rsidR="0045447B" w:rsidRDefault="00C47146" w:rsidP="004544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447B" w:rsidRPr="0045447B" w:rsidRDefault="00B2639A" w:rsidP="004544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خاک</w:t>
            </w:r>
            <w:r w:rsidR="00EE427C">
              <w:rPr>
                <w:rFonts w:hint="cs"/>
                <w:rtl/>
                <w:lang w:bidi="fa-IR"/>
              </w:rPr>
              <w:t xml:space="preserve"> و هوا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510BD" w:rsidRPr="009510BD" w:rsidRDefault="00D6536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های 10، 14، 15 و 17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ind w:firstLine="0"/>
              <w:jc w:val="both"/>
              <w:rPr>
                <w:rtl/>
                <w:lang w:bidi="fa-IR"/>
              </w:rPr>
            </w:pPr>
            <w:r w:rsidRPr="000531E3">
              <w:rPr>
                <w:rFonts w:hint="cs"/>
                <w:rtl/>
                <w:lang w:bidi="fa-IR"/>
              </w:rPr>
              <w:t>فرسایش و حفاظت آب و خاک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D65362" w:rsidP="00AB6FD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های 10</w:t>
            </w:r>
            <w:r w:rsidR="00AB6FD1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13 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فرآورده های صنعتی و ... حاصل از منابع طبیعی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AB6FD1" w:rsidP="00803F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15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350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جنگل ها و مراتع و بهره برداران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9510BD" w:rsidRDefault="00AB6FD1" w:rsidP="00803F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 6 و 23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طبیعی غیرقابل تجدید و بهره برداران آنها</w:t>
            </w:r>
          </w:p>
          <w:p w:rsidR="00C47146" w:rsidRPr="00803F7D" w:rsidRDefault="00C47146" w:rsidP="007B39D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AB6FD1" w:rsidRDefault="00AB6FD1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AB6FD1">
              <w:rPr>
                <w:rFonts w:hint="cs"/>
                <w:rtl/>
                <w:lang w:bidi="fa-IR"/>
              </w:rPr>
              <w:t>مرجع 1 فصل 15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71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336FDF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انرژی تجدیدپذیر و غیرقابل تجدید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AB6FD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C7698">
              <w:rPr>
                <w:rFonts w:hint="cs"/>
                <w:rtl/>
                <w:lang w:bidi="fa-IR"/>
              </w:rPr>
              <w:t xml:space="preserve"> فصل 16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بهره برداری از منابع انرژی و تاثیر آن بر پایداری منابع طبیعی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1B0590" w:rsidRPr="001B0590" w:rsidRDefault="000C7698" w:rsidP="00A565C0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مرجع 1 فصل های 15 و 16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 منابع طبیعی خشکی و دریایی درزمین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0C7698" w:rsidRDefault="000C76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7698">
              <w:rPr>
                <w:rFonts w:hint="cs"/>
                <w:rtl/>
                <w:lang w:bidi="fa-IR"/>
              </w:rPr>
              <w:t>مرجع 1 فصل های 12 الی 15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73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5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31E3" w:rsidRPr="000531E3" w:rsidRDefault="000531E3" w:rsidP="000531E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استفاده از منابع طبیعی </w:t>
            </w:r>
            <w:r w:rsidR="000C7698">
              <w:rPr>
                <w:rFonts w:ascii="TimesNewRoman,Bold" w:hAnsi="TimesNewRoman,Bold" w:hint="cs"/>
                <w:rtl/>
                <w:lang w:bidi="fa-IR"/>
              </w:rPr>
              <w:t>آبی (</w:t>
            </w:r>
            <w:r>
              <w:rPr>
                <w:rFonts w:ascii="TimesNewRoman,Bold" w:hAnsi="TimesNewRoman,Bold" w:hint="cs"/>
                <w:rtl/>
                <w:lang w:bidi="fa-IR"/>
              </w:rPr>
              <w:t>دریایی</w:t>
            </w:r>
            <w:r w:rsidR="000C7698">
              <w:rPr>
                <w:rFonts w:ascii="TimesNewRoman,Bold" w:hAnsi="TimesNewRoman,Bold" w:hint="cs"/>
                <w:rtl/>
                <w:lang w:bidi="fa-IR"/>
              </w:rPr>
              <w:t>)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کاهش ف</w:t>
            </w:r>
            <w:r w:rsidR="000C7698">
              <w:rPr>
                <w:rFonts w:ascii="TimesNewRoman,Bold" w:hAnsi="TimesNewRoman,Bold" w:hint="cs"/>
                <w:rtl/>
                <w:lang w:bidi="fa-IR"/>
              </w:rPr>
              <w:t>شار بر منابع طبیعی خشکی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F8" w:rsidRPr="000C7698" w:rsidRDefault="000C76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C7698">
              <w:rPr>
                <w:rFonts w:hint="cs"/>
                <w:rtl/>
                <w:lang w:bidi="fa-IR"/>
              </w:rPr>
              <w:t>مرجع 1 فصل 24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0C7698">
        <w:trPr>
          <w:gridBefore w:val="1"/>
          <w:wBefore w:w="25" w:type="pct"/>
          <w:trHeight w:val="1386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8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EE427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توسعه پایدار و اهمیت تطبیق زندگی انسان با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1B0590" w:rsidRDefault="000C769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 فصل های 26 الی 28</w:t>
            </w:r>
          </w:p>
        </w:tc>
        <w:tc>
          <w:tcPr>
            <w:tcW w:w="78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gridSpan w:val="2"/>
          </w:tcPr>
          <w:p w:rsidR="00C47146" w:rsidRDefault="000C76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</w:tbl>
    <w:p w:rsidR="005D7AAE" w:rsidRDefault="00A565C0" w:rsidP="000C7698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واحد عملی: بازدید از مناطقی که در نتیجه دخالتهای انسان </w:t>
      </w:r>
      <w:r w:rsidR="000C7698">
        <w:rPr>
          <w:rFonts w:hint="cs"/>
          <w:rtl/>
          <w:lang w:bidi="fa-IR"/>
        </w:rPr>
        <w:t>تحت تاثیر قرار گرفته اند</w:t>
      </w:r>
      <w:r>
        <w:rPr>
          <w:rFonts w:hint="cs"/>
          <w:rtl/>
          <w:lang w:bidi="fa-IR"/>
        </w:rPr>
        <w:t>.</w:t>
      </w:r>
    </w:p>
    <w:sectPr w:rsidR="005D7AAE" w:rsidSect="00A51E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14" w:rsidRDefault="00292814" w:rsidP="00061A9B">
      <w:pPr>
        <w:spacing w:after="0"/>
      </w:pPr>
      <w:r>
        <w:separator/>
      </w:r>
    </w:p>
  </w:endnote>
  <w:endnote w:type="continuationSeparator" w:id="0">
    <w:p w:rsidR="00292814" w:rsidRDefault="0029281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604D69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08278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14" w:rsidRDefault="00292814" w:rsidP="00061A9B">
      <w:pPr>
        <w:spacing w:after="0"/>
      </w:pPr>
      <w:r>
        <w:separator/>
      </w:r>
    </w:p>
  </w:footnote>
  <w:footnote w:type="continuationSeparator" w:id="0">
    <w:p w:rsidR="00292814" w:rsidRDefault="0029281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31E3"/>
    <w:rsid w:val="00055FF1"/>
    <w:rsid w:val="00061A9B"/>
    <w:rsid w:val="00076463"/>
    <w:rsid w:val="00082783"/>
    <w:rsid w:val="0009337D"/>
    <w:rsid w:val="0009615B"/>
    <w:rsid w:val="000C3CA6"/>
    <w:rsid w:val="000C7698"/>
    <w:rsid w:val="00165901"/>
    <w:rsid w:val="00172809"/>
    <w:rsid w:val="0018085B"/>
    <w:rsid w:val="00197896"/>
    <w:rsid w:val="001A4CEF"/>
    <w:rsid w:val="001B0590"/>
    <w:rsid w:val="001B1F97"/>
    <w:rsid w:val="001E2DA0"/>
    <w:rsid w:val="001F234E"/>
    <w:rsid w:val="001F48E0"/>
    <w:rsid w:val="00211920"/>
    <w:rsid w:val="00261C5C"/>
    <w:rsid w:val="00262DF5"/>
    <w:rsid w:val="0029281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04C4"/>
    <w:rsid w:val="0045447B"/>
    <w:rsid w:val="00466747"/>
    <w:rsid w:val="004A4A5B"/>
    <w:rsid w:val="004C5DB1"/>
    <w:rsid w:val="004D4950"/>
    <w:rsid w:val="004D5045"/>
    <w:rsid w:val="004D60D0"/>
    <w:rsid w:val="004E2BEE"/>
    <w:rsid w:val="004E35F7"/>
    <w:rsid w:val="0051290F"/>
    <w:rsid w:val="00517F05"/>
    <w:rsid w:val="00534E45"/>
    <w:rsid w:val="00584D52"/>
    <w:rsid w:val="00591019"/>
    <w:rsid w:val="0059403E"/>
    <w:rsid w:val="005A03C7"/>
    <w:rsid w:val="005A7B23"/>
    <w:rsid w:val="005C59B3"/>
    <w:rsid w:val="005D0BB3"/>
    <w:rsid w:val="005D7AAE"/>
    <w:rsid w:val="006008A6"/>
    <w:rsid w:val="00604D69"/>
    <w:rsid w:val="00607EA7"/>
    <w:rsid w:val="00624517"/>
    <w:rsid w:val="006F0D75"/>
    <w:rsid w:val="006F33D4"/>
    <w:rsid w:val="0071418D"/>
    <w:rsid w:val="007317DD"/>
    <w:rsid w:val="00766300"/>
    <w:rsid w:val="00787DA0"/>
    <w:rsid w:val="00793303"/>
    <w:rsid w:val="007B39D6"/>
    <w:rsid w:val="007B7173"/>
    <w:rsid w:val="007C4B7C"/>
    <w:rsid w:val="008014C5"/>
    <w:rsid w:val="00803F7D"/>
    <w:rsid w:val="008104C7"/>
    <w:rsid w:val="008120F9"/>
    <w:rsid w:val="00853C2F"/>
    <w:rsid w:val="00863C0C"/>
    <w:rsid w:val="0087319C"/>
    <w:rsid w:val="00897957"/>
    <w:rsid w:val="008C3AB5"/>
    <w:rsid w:val="008C71E5"/>
    <w:rsid w:val="008E0391"/>
    <w:rsid w:val="00914703"/>
    <w:rsid w:val="009510BD"/>
    <w:rsid w:val="0098410D"/>
    <w:rsid w:val="0098549E"/>
    <w:rsid w:val="0099014B"/>
    <w:rsid w:val="009C0041"/>
    <w:rsid w:val="009C2719"/>
    <w:rsid w:val="009F0C76"/>
    <w:rsid w:val="009F1DA8"/>
    <w:rsid w:val="00A51E3F"/>
    <w:rsid w:val="00A565C0"/>
    <w:rsid w:val="00A86115"/>
    <w:rsid w:val="00AB3C79"/>
    <w:rsid w:val="00AB6FD1"/>
    <w:rsid w:val="00AC5599"/>
    <w:rsid w:val="00AF4840"/>
    <w:rsid w:val="00B01882"/>
    <w:rsid w:val="00B115BB"/>
    <w:rsid w:val="00B2639A"/>
    <w:rsid w:val="00B450DA"/>
    <w:rsid w:val="00B53F72"/>
    <w:rsid w:val="00BA374A"/>
    <w:rsid w:val="00BC18FA"/>
    <w:rsid w:val="00C16AA2"/>
    <w:rsid w:val="00C26748"/>
    <w:rsid w:val="00C31DF2"/>
    <w:rsid w:val="00C34844"/>
    <w:rsid w:val="00C44141"/>
    <w:rsid w:val="00C47146"/>
    <w:rsid w:val="00C60107"/>
    <w:rsid w:val="00C7011E"/>
    <w:rsid w:val="00C701F7"/>
    <w:rsid w:val="00C82905"/>
    <w:rsid w:val="00CB0411"/>
    <w:rsid w:val="00CB71E5"/>
    <w:rsid w:val="00CC6FDA"/>
    <w:rsid w:val="00CE1F98"/>
    <w:rsid w:val="00CE6832"/>
    <w:rsid w:val="00D10E01"/>
    <w:rsid w:val="00D2144D"/>
    <w:rsid w:val="00D45B4E"/>
    <w:rsid w:val="00D50B2B"/>
    <w:rsid w:val="00D65362"/>
    <w:rsid w:val="00D976CA"/>
    <w:rsid w:val="00DB0346"/>
    <w:rsid w:val="00DD1AFB"/>
    <w:rsid w:val="00E23E26"/>
    <w:rsid w:val="00E50401"/>
    <w:rsid w:val="00E504B7"/>
    <w:rsid w:val="00E6127D"/>
    <w:rsid w:val="00E85668"/>
    <w:rsid w:val="00E867F8"/>
    <w:rsid w:val="00EA53CC"/>
    <w:rsid w:val="00EB76A2"/>
    <w:rsid w:val="00ED4FCF"/>
    <w:rsid w:val="00EE427C"/>
    <w:rsid w:val="00EE56A0"/>
    <w:rsid w:val="00EF4E50"/>
    <w:rsid w:val="00EF67CA"/>
    <w:rsid w:val="00EF7174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7F44"/>
  <w15:docId w15:val="{D6B67D98-4D53-4D68-A910-044BCEDB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ouri@uok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F0BB-A84D-4041-95F4-23048A0C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Bubak Souri</cp:lastModifiedBy>
  <cp:revision>2</cp:revision>
  <dcterms:created xsi:type="dcterms:W3CDTF">2020-10-04T08:45:00Z</dcterms:created>
  <dcterms:modified xsi:type="dcterms:W3CDTF">2020-10-04T08:45:00Z</dcterms:modified>
</cp:coreProperties>
</file>