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منابع طبیعی</w:t>
            </w:r>
          </w:p>
        </w:tc>
        <w:tc>
          <w:tcPr>
            <w:tcW w:w="507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پرویز کرمی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ساعت 9:45-8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636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636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  <w:p w:rsidR="00B636C5" w:rsidRDefault="00B636C5" w:rsidP="00B636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636C5">
        <w:trPr>
          <w:trHeight w:val="332"/>
        </w:trPr>
        <w:tc>
          <w:tcPr>
            <w:tcW w:w="5000" w:type="pct"/>
          </w:tcPr>
          <w:p w:rsidR="00C16AA2" w:rsidRPr="00C44141" w:rsidRDefault="00B636C5" w:rsidP="00B636C5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636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F9191E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</w:t>
            </w:r>
            <w:r w:rsidR="00B636C5">
              <w:rPr>
                <w:rFonts w:hint="cs"/>
                <w:rtl/>
                <w:lang w:bidi="fa-IR"/>
              </w:rPr>
              <w:t>بازدید علمی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B636C5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جزوه درسی </w:t>
            </w:r>
          </w:p>
          <w:p w:rsidR="003354EE" w:rsidRDefault="001C3C06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برخوردار وزیری، بنفشه. 1393. شناخت محیط زیست. انتشارات پیام نور.</w:t>
            </w:r>
          </w:p>
          <w:p w:rsidR="001C3C06" w:rsidRDefault="001C3C06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فتایی، ابراهیم. 1390.شناخت منابع طبیعی و محیط زیست. انتشارات دانشگاه آزاد اسلامی.</w:t>
            </w:r>
          </w:p>
          <w:p w:rsidR="001C3C06" w:rsidRDefault="001C3C06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محسنی ساروی، محسن. 1386. عملیات مدیریت منابع طبیعی. انتشارات دانشگاه تهران.</w:t>
            </w:r>
          </w:p>
          <w:p w:rsidR="001C3C06" w:rsidRDefault="001C3C06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مقدم، محمد رضا. 1388. مرتع و مرتعداری. انتشارات دانشگاه تهران.</w:t>
            </w:r>
          </w:p>
          <w:p w:rsidR="00C44141" w:rsidRPr="003354EE" w:rsidRDefault="001C3C06" w:rsidP="001C3C06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وثوقی، غلامرضا و بهزاد مشجیر. 1388. ماهیان آب شیرین. انتشارات دانشگاه تهران.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F5029">
        <w:trPr>
          <w:trHeight w:val="3014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1C3C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C3C06">
              <w:rPr>
                <w:rFonts w:ascii="TimesNewRoman,Bold" w:hAnsi="TimesNewRoman,Bold" w:hint="cs"/>
                <w:rtl/>
                <w:lang w:bidi="fa-IR"/>
              </w:rPr>
              <w:t xml:space="preserve">تفاوت منبع و ذخیره را 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بیان کنید؛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انواع منابع طبیعی را بشناسید؛</w:t>
            </w:r>
          </w:p>
          <w:p w:rsidR="00A51E3F" w:rsidRDefault="00F94C7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منابع زنده و غیره زنده طبیعت را بشناسید؛</w:t>
            </w:r>
          </w:p>
          <w:p w:rsidR="00A51E3F" w:rsidRDefault="00F94C7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 از منابع طبیعی ایران را  تصور کنید؛</w:t>
            </w:r>
          </w:p>
          <w:p w:rsidR="00A51E3F" w:rsidRDefault="00F94C74" w:rsidP="00F94C7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تحلیلی در خصوص وضعیت منابع طبیعی ایران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25112A" w:rsidP="002511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</w:t>
            </w:r>
            <w:r w:rsidRPr="0025112A">
              <w:rPr>
                <w:rFonts w:ascii="TimesNewRoman,Bold" w:hAnsi="TimesNewRoman,Bold" w:hint="cs"/>
                <w:rtl/>
                <w:lang w:bidi="fa-IR"/>
              </w:rPr>
              <w:t>منابع طبیعی گیاهی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25112A">
              <w:rPr>
                <w:rFonts w:ascii="TimesNewRoman,Bold" w:hAnsi="TimesNewRoman,Bold" w:hint="cs"/>
                <w:rtl/>
                <w:lang w:bidi="fa-IR"/>
              </w:rPr>
              <w:t xml:space="preserve"> و انواع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تشریح نمایید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5112A" w:rsidRDefault="0025112A" w:rsidP="002511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خصوص وضعیت منابع آبزی (شیلات) آگاهی نسبی داشته باشید؛</w:t>
            </w:r>
          </w:p>
          <w:p w:rsidR="00A51E3F" w:rsidRPr="00BF5029" w:rsidRDefault="00A51E3F" w:rsidP="00BF5029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E6F1D">
        <w:trPr>
          <w:trHeight w:val="290"/>
        </w:trPr>
        <w:tc>
          <w:tcPr>
            <w:tcW w:w="5000" w:type="pct"/>
          </w:tcPr>
          <w:p w:rsidR="00A51E3F" w:rsidRPr="001F48E0" w:rsidRDefault="000E6F1D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منابع طبیعی تفکری سیستمی داشته باشید.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E6F1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46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C46AAA" w:rsidRDefault="00C46AAA" w:rsidP="002A636E">
            <w:pPr>
              <w:ind w:firstLine="0"/>
              <w:jc w:val="both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C46A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C46A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4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C46AA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46AAA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46AA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حضور در  تمامی جلسات درس، </w:t>
            </w: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C46AA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46AAA" w:rsidP="00C46A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C46AAA">
              <w:rPr>
                <w:rStyle w:val="Hyperlink"/>
                <w:b/>
                <w:bCs/>
              </w:rPr>
              <w:t>p.karami@uok.ac.ir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C46AA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</w:t>
            </w:r>
            <w:r w:rsidR="00C46AAA">
              <w:rPr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 برنامه هفتگی در محل دفتر کار اینجانب قید شده است.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C46A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علمی اجباری است.</w:t>
            </w:r>
          </w:p>
          <w:p w:rsidR="007B39D6" w:rsidRPr="00A51E3F" w:rsidRDefault="00C46A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استفاد از موبایل ممنوع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BF5029">
        <w:trPr>
          <w:trHeight w:val="572"/>
        </w:trPr>
        <w:tc>
          <w:tcPr>
            <w:tcW w:w="5000" w:type="pct"/>
          </w:tcPr>
          <w:p w:rsidR="00766300" w:rsidRPr="00C44141" w:rsidRDefault="00B500C3" w:rsidP="007C2DE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 موطف است در خصوص منابع طبیعی شهرستان و یا استان محل زندگی خود </w:t>
            </w:r>
            <w:r w:rsidR="007C2DE0">
              <w:rPr>
                <w:rFonts w:ascii="TimesNewRoman,Bold" w:hAnsi="TimesNewRoman,Bold" w:hint="cs"/>
                <w:rtl/>
                <w:lang w:bidi="fa-IR"/>
              </w:rPr>
              <w:t>مقاله ای گردآوری نماید و در کلاس ارائه دهد.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272"/>
        <w:gridCol w:w="141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9560E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5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5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9560E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ED2C6C" w:rsidRDefault="00ED2C6C" w:rsidP="00ED2C6C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 منابع طبیعی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تفاوت بین ذخایر طبیعی و منابع طبیعی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منابع طبیعی تجدید شونده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0D2230" w:rsidP="00D95D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5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C47146" w:rsidRDefault="00F67B2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تقسیم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انواع منابع طبیعی تجدید شونده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اهمیت شناخت منابع طبیعی تجدید شونده و نقش آن در زندگی انسان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Pr="00ED2C6C" w:rsidRDefault="00F67B22" w:rsidP="00F67B22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احیا و بهره برداری از منابع طبیعی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منابع طبیع غیر جاندار (آب، خاک و هوا)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مرتع و انواع آن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وسعت و پراکنش انواع مرتع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اهمیت مراتع از جنبه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مختلف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D2230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5 فصل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مراتع ایران و جهان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بهره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برداران مرتع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ind w:firstLine="0"/>
              <w:rPr>
                <w:b/>
                <w:bCs/>
                <w:rtl/>
                <w:lang w:bidi="fa-IR"/>
              </w:rPr>
            </w:pPr>
            <w:r w:rsidRPr="000D2230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5 فصل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مفهوم حوزه آبخیز و آبخیزداری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کنترل فرسایش در حوزه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آبخیز -بیابان و انواع آن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89560E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9560E">
              <w:rPr>
                <w:rFonts w:hint="cs"/>
                <w:b/>
                <w:bCs/>
                <w:rtl/>
                <w:lang w:bidi="fa-IR"/>
              </w:rPr>
              <w:t>منبع 4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bookmarkStart w:id="0" w:name="_GoBack"/>
            <w:bookmarkEnd w:id="0"/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جنگلها، تعریف و 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ها، اهمیت جنگلها و نقش آن در زندگی انسان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31 تا 41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وسعت و پراکنش جنگل ها در ایران و جهان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جنگل کاری و اهمیت آن در ایران  پارکهای جنگلی و دست کاهش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چوب و فراورده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آن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31 تا 41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Pr="00E85668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منابع طبیعی جانوری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حیات وحش و اهمیت آن در زندگی بشر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2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فصل 4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مناطق حفاظت شده و پارکهای ملی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42 الی 46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محیط زیست طبیعی و اهمیت حفاظت  از آن </w:t>
            </w:r>
            <w:r>
              <w:rPr>
                <w:rFonts w:cs="Times New Roman" w:hint="cs"/>
                <w:rtl/>
                <w:lang w:bidi="fa-IR"/>
              </w:rPr>
              <w:t xml:space="preserve">– </w:t>
            </w:r>
            <w:r>
              <w:rPr>
                <w:rFonts w:hint="cs"/>
                <w:rtl/>
                <w:lang w:bidi="fa-IR"/>
              </w:rPr>
              <w:t xml:space="preserve">آلودگیهای محیط زیست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5D7961" w:rsidRDefault="00F67B22" w:rsidP="00F67B22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31 تا 41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آبزیان و نقش آن در زندگی انسان- منابع مولد آبزیان ایران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آبزیان عمده ایران.</w:t>
            </w:r>
          </w:p>
          <w:p w:rsidR="00F67B22" w:rsidRDefault="00F67B22" w:rsidP="00F67B22">
            <w:pPr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5D7961" w:rsidRDefault="00F67B22" w:rsidP="00F67B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46 الی 48 و منبع 4 فصل 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8" w:type="pct"/>
          </w:tcPr>
          <w:p w:rsidR="00F67B22" w:rsidRDefault="00F67B22" w:rsidP="00F67B22">
            <w:r w:rsidRPr="009A31C4">
              <w:rPr>
                <w:rFonts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8" w:type="pct"/>
          </w:tcPr>
          <w:p w:rsidR="00F67B22" w:rsidRDefault="00F67B22" w:rsidP="00F67B22">
            <w:r w:rsidRPr="009A31C4">
              <w:rPr>
                <w:rFonts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9D3F3A" w:rsidRDefault="009D3F3A" w:rsidP="009D3F3A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عملی:</w:t>
      </w:r>
    </w:p>
    <w:p w:rsidR="00BF5029" w:rsidRDefault="009D3F3A" w:rsidP="009D3F3A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بازدید از مراتع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بازدید از فعالیتهای آبخیزداری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بازدید از مناطق حفاظت شده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بازدید از جنگل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 و طرحهای آن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بازدید از مراکز پرورش آبزیان.</w:t>
      </w:r>
      <w:r w:rsidR="00BF5394">
        <w:rPr>
          <w:rFonts w:hint="cs"/>
          <w:rtl/>
          <w:lang w:bidi="fa-IR"/>
        </w:rPr>
        <w:t xml:space="preserve"> </w:t>
      </w:r>
    </w:p>
    <w:p w:rsidR="00BF5029" w:rsidRDefault="00BF5029" w:rsidP="00914703">
      <w:pPr>
        <w:ind w:firstLine="0"/>
        <w:rPr>
          <w:rtl/>
          <w:lang w:bidi="fa-IR"/>
        </w:rPr>
      </w:pPr>
    </w:p>
    <w:sectPr w:rsidR="00BF5029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D5" w:rsidRDefault="007327D5" w:rsidP="00061A9B">
      <w:pPr>
        <w:spacing w:after="0"/>
      </w:pPr>
      <w:r>
        <w:separator/>
      </w:r>
    </w:p>
  </w:endnote>
  <w:endnote w:type="continuationSeparator" w:id="0">
    <w:p w:rsidR="007327D5" w:rsidRDefault="007327D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E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D5" w:rsidRDefault="007327D5" w:rsidP="00061A9B">
      <w:pPr>
        <w:spacing w:after="0"/>
      </w:pPr>
      <w:r>
        <w:separator/>
      </w:r>
    </w:p>
  </w:footnote>
  <w:footnote w:type="continuationSeparator" w:id="0">
    <w:p w:rsidR="007327D5" w:rsidRDefault="007327D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D2230"/>
    <w:rsid w:val="000E6F1D"/>
    <w:rsid w:val="00165901"/>
    <w:rsid w:val="0018085B"/>
    <w:rsid w:val="00197896"/>
    <w:rsid w:val="001A4CEF"/>
    <w:rsid w:val="001B1F97"/>
    <w:rsid w:val="001C3C06"/>
    <w:rsid w:val="001E2DA0"/>
    <w:rsid w:val="001F48E0"/>
    <w:rsid w:val="001F724B"/>
    <w:rsid w:val="00211920"/>
    <w:rsid w:val="0025112A"/>
    <w:rsid w:val="00261C5C"/>
    <w:rsid w:val="00262DF5"/>
    <w:rsid w:val="00267B9C"/>
    <w:rsid w:val="002A636E"/>
    <w:rsid w:val="002B0A6E"/>
    <w:rsid w:val="002B35CC"/>
    <w:rsid w:val="002C4CEB"/>
    <w:rsid w:val="002C57E6"/>
    <w:rsid w:val="002C5F3D"/>
    <w:rsid w:val="002E3A10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E2C99"/>
    <w:rsid w:val="004F028B"/>
    <w:rsid w:val="0051290F"/>
    <w:rsid w:val="00517F05"/>
    <w:rsid w:val="00534E45"/>
    <w:rsid w:val="00584D52"/>
    <w:rsid w:val="00591019"/>
    <w:rsid w:val="005A7B23"/>
    <w:rsid w:val="005D0BB3"/>
    <w:rsid w:val="005D7961"/>
    <w:rsid w:val="005D7AAE"/>
    <w:rsid w:val="006F33D4"/>
    <w:rsid w:val="007317DD"/>
    <w:rsid w:val="007327D5"/>
    <w:rsid w:val="00766300"/>
    <w:rsid w:val="00787DA0"/>
    <w:rsid w:val="00793303"/>
    <w:rsid w:val="007B39D6"/>
    <w:rsid w:val="007B7173"/>
    <w:rsid w:val="007C2DE0"/>
    <w:rsid w:val="007C4B7C"/>
    <w:rsid w:val="008120F9"/>
    <w:rsid w:val="008335AC"/>
    <w:rsid w:val="00853C2F"/>
    <w:rsid w:val="00857414"/>
    <w:rsid w:val="00863C0C"/>
    <w:rsid w:val="0087319C"/>
    <w:rsid w:val="0089560E"/>
    <w:rsid w:val="00897957"/>
    <w:rsid w:val="008B3920"/>
    <w:rsid w:val="008C3AB5"/>
    <w:rsid w:val="008E0391"/>
    <w:rsid w:val="00914703"/>
    <w:rsid w:val="0098549E"/>
    <w:rsid w:val="0099014B"/>
    <w:rsid w:val="009C0041"/>
    <w:rsid w:val="009C2719"/>
    <w:rsid w:val="009D3F3A"/>
    <w:rsid w:val="009E0041"/>
    <w:rsid w:val="009F0C76"/>
    <w:rsid w:val="009F1DA8"/>
    <w:rsid w:val="00A51E3F"/>
    <w:rsid w:val="00AB3C79"/>
    <w:rsid w:val="00AC5599"/>
    <w:rsid w:val="00AF4840"/>
    <w:rsid w:val="00B01882"/>
    <w:rsid w:val="00B500C3"/>
    <w:rsid w:val="00B53F72"/>
    <w:rsid w:val="00B636C5"/>
    <w:rsid w:val="00BA374A"/>
    <w:rsid w:val="00BF5029"/>
    <w:rsid w:val="00BF5394"/>
    <w:rsid w:val="00C16AA2"/>
    <w:rsid w:val="00C26748"/>
    <w:rsid w:val="00C31DF2"/>
    <w:rsid w:val="00C34844"/>
    <w:rsid w:val="00C44141"/>
    <w:rsid w:val="00C46AAA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5D38"/>
    <w:rsid w:val="00DB0346"/>
    <w:rsid w:val="00E504B7"/>
    <w:rsid w:val="00E85668"/>
    <w:rsid w:val="00EB76A2"/>
    <w:rsid w:val="00ED2C6C"/>
    <w:rsid w:val="00EE56A0"/>
    <w:rsid w:val="00EF4E50"/>
    <w:rsid w:val="00EF67CA"/>
    <w:rsid w:val="00F06A90"/>
    <w:rsid w:val="00F6060B"/>
    <w:rsid w:val="00F6504B"/>
    <w:rsid w:val="00F67B22"/>
    <w:rsid w:val="00F838C1"/>
    <w:rsid w:val="00F858F8"/>
    <w:rsid w:val="00F9191E"/>
    <w:rsid w:val="00F94C74"/>
    <w:rsid w:val="00FF69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63017-E914-4FB3-B479-F0E2832A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16</cp:revision>
  <dcterms:created xsi:type="dcterms:W3CDTF">2018-11-07T19:21:00Z</dcterms:created>
  <dcterms:modified xsi:type="dcterms:W3CDTF">2018-11-19T21:05:00Z</dcterms:modified>
</cp:coreProperties>
</file>