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843609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277B4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کاشت و داشت</w:t>
            </w:r>
          </w:p>
        </w:tc>
        <w:tc>
          <w:tcPr>
            <w:tcW w:w="507" w:type="pct"/>
            <w:vAlign w:val="center"/>
          </w:tcPr>
          <w:p w:rsidR="00C26748" w:rsidRDefault="00AF3F62" w:rsidP="004277B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صمیمی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F3F62" w:rsidRDefault="004277B4" w:rsidP="004277B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AF3F6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30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17</w:t>
            </w:r>
            <w:r w:rsidR="00AF3F6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45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43CA0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AF3F62">
              <w:rPr>
                <w:rFonts w:hint="cs"/>
                <w:rtl/>
                <w:lang w:bidi="fa-IR"/>
              </w:rPr>
              <w:t xml:space="preserve">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4277B4" w:rsidRDefault="004277B4" w:rsidP="004277B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طراحی اجزاء 1</w:t>
            </w:r>
          </w:p>
          <w:p w:rsidR="00C16AA2" w:rsidRPr="004277B4" w:rsidRDefault="004277B4" w:rsidP="004277B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ماشین</w:t>
            </w:r>
            <w:r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های کشاورزی عمومی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F3F6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F3F62">
              <w:rPr>
                <w:rFonts w:hint="cs"/>
              </w:rPr>
              <w:sym w:font="Wingdings" w:char="F06E"/>
            </w:r>
            <w:r w:rsidR="00AF3F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F3F6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05D28" w:rsidRDefault="004277B4" w:rsidP="00705D28">
            <w:pPr>
              <w:pStyle w:val="ListParagraph"/>
              <w:numPr>
                <w:ilvl w:val="0"/>
                <w:numId w:val="25"/>
              </w:numPr>
              <w:tabs>
                <w:tab w:val="right" w:pos="452"/>
              </w:tabs>
              <w:ind w:left="27" w:hanging="27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منصوری راد، د. 1385. تراکتورها و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کشاورزی. جلد اول. انتشارات دانشگاه بو علی سینا.</w:t>
            </w:r>
          </w:p>
          <w:p w:rsidR="00C44141" w:rsidRPr="003354EE" w:rsidRDefault="004277B4" w:rsidP="004277B4">
            <w:pPr>
              <w:pStyle w:val="ListParagraph"/>
              <w:numPr>
                <w:ilvl w:val="0"/>
                <w:numId w:val="25"/>
              </w:numPr>
              <w:tabs>
                <w:tab w:val="right" w:pos="452"/>
              </w:tabs>
              <w:ind w:left="27" w:hanging="27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بهروزی لار، م. 1390. اصول طراحی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کشاورزی. ترجمه. انتشارات دانشگاه آزاد اسلامی.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576E75" w:rsidRDefault="00576E7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4277B4" w:rsidRDefault="00705D2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277B4">
              <w:rPr>
                <w:rFonts w:ascii="TimesNewRoman,Bold" w:hAnsi="TimesNewRoman,Bold" w:hint="cs"/>
                <w:rtl/>
                <w:lang w:bidi="fa-IR"/>
              </w:rPr>
              <w:t xml:space="preserve"> اصول اولیه برای طراحی یک ماشین کاشت و داشت را بشناسید.</w:t>
            </w:r>
          </w:p>
          <w:p w:rsidR="004277B4" w:rsidRDefault="004277B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اجمالی از ادوات استفاده شده در کشاورزی در حیطه کاشت و داشت باشید.</w:t>
            </w:r>
          </w:p>
          <w:p w:rsidR="004277B4" w:rsidRDefault="004277B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ادواتی که برای کشت محصولات کشاورزی به کار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روند خبره شده باشید.</w:t>
            </w:r>
          </w:p>
          <w:p w:rsidR="00255DD7" w:rsidRDefault="004277B4" w:rsidP="00255DD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255DD7">
              <w:rPr>
                <w:rFonts w:ascii="TimesNewRoman,Bold" w:hAnsi="TimesNewRoman,Bold" w:hint="cs"/>
                <w:rtl/>
                <w:lang w:bidi="fa-IR"/>
              </w:rPr>
              <w:t>همیت خصوصیات فیزیکی و مکانیکی بذر و نشاء در طراحی یک سامانه کشت را درک کرده باشید.</w:t>
            </w:r>
          </w:p>
          <w:p w:rsidR="004277B4" w:rsidRDefault="00255DD7" w:rsidP="00255DD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توجه به 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مواد مهندسی و خصوصیات بذر بتوانید یک دستگاه کارنده طراحی نمایید.</w:t>
            </w:r>
          </w:p>
          <w:p w:rsidR="00255DD7" w:rsidRDefault="00255DD7" w:rsidP="00255DD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یک سم پاش و علف کش را درک نموده و عوامل موثر در طراحی آن ها را بدانید.</w:t>
            </w:r>
          </w:p>
          <w:p w:rsidR="00A51E3F" w:rsidRPr="00255DD7" w:rsidRDefault="00255DD7" w:rsidP="00255DD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موارد استفاده هر کدام از ادوات مربوط به سم پاشی و علف کشی برای شرایط مختلف درک نمایید.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55DD7" w:rsidP="006A3AB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یک سامانه کارنده و سمپاش بر اساس شرایط بذر و بوته و مزرعه</w:t>
            </w:r>
          </w:p>
          <w:p w:rsidR="00A51E3F" w:rsidRDefault="00255DD7" w:rsidP="00255DD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نحوه تنظیم، کنترل و </w:t>
            </w:r>
            <w:r>
              <w:rPr>
                <w:rFonts w:hint="cs"/>
                <w:rtl/>
                <w:lang w:bidi="fa-IR"/>
              </w:rPr>
              <w:t xml:space="preserve">حل مسائل </w:t>
            </w:r>
            <w:r>
              <w:rPr>
                <w:rFonts w:hint="cs"/>
                <w:rtl/>
                <w:lang w:bidi="fa-IR"/>
              </w:rPr>
              <w:t xml:space="preserve">مربوط به ادوات کاشت و داشت </w:t>
            </w:r>
          </w:p>
          <w:p w:rsidR="00A51E3F" w:rsidRPr="001F48E0" w:rsidRDefault="00C546AE" w:rsidP="00255DD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720D75">
              <w:rPr>
                <w:rFonts w:hint="cs"/>
                <w:rtl/>
                <w:lang w:bidi="fa-IR"/>
              </w:rPr>
              <w:t>برای گذراندن دروس تخصصی اصول طراحی ماشین</w:t>
            </w:r>
            <w:r w:rsidR="00720D75">
              <w:rPr>
                <w:rtl/>
                <w:lang w:bidi="fa-IR"/>
              </w:rPr>
              <w:softHyphen/>
            </w:r>
            <w:r w:rsidR="00720D75">
              <w:rPr>
                <w:rFonts w:hint="cs"/>
                <w:rtl/>
                <w:lang w:bidi="fa-IR"/>
              </w:rPr>
              <w:t>های کشاورزی در مقطع کارشناسی ارشد.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005BD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005BD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546AE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C546AE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365F8" w:rsidP="00C546A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546AE" w:rsidRPr="00446ABA">
                <w:rPr>
                  <w:rStyle w:val="Hyperlink"/>
                  <w:b/>
                  <w:bCs/>
                </w:rPr>
                <w:t>h.samimi@uok.ac.ir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82CA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82CA3">
              <w:rPr>
                <w:rStyle w:val="Hyperlink"/>
                <w:b/>
                <w:bCs/>
              </w:rPr>
              <w:t>http://resea</w:t>
            </w:r>
            <w:r>
              <w:rPr>
                <w:rStyle w:val="Hyperlink"/>
                <w:b/>
                <w:bCs/>
              </w:rPr>
              <w:t>rch.uok.ac.ir/~hsamimiakhijahani/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82CA3" w:rsidRDefault="00482CA3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سال اول 98-97</w:t>
            </w:r>
          </w:p>
          <w:p w:rsidR="00A51E3F" w:rsidRDefault="00482CA3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یکشنبه: 45/15-00/14، دوشنبه 30/11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15/13، سه شنبه 45/9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00/8 ، دفتر کار در دانشکده کشاورزی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482CA3" w:rsidP="00482CA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7B39D6" w:rsidRPr="00A51E3F" w:rsidRDefault="00482CA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و پایان ترم مجزا از هم بوده و شرکت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اجباری است. غیبت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به منزله صفر تلقی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E2DF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در صورت درخواست برای حل تکلیف دو هفته برای تحویل تمرین مهلت خواهید داشت. در غیر این</w:t>
            </w:r>
            <w:r w:rsidR="00CE2DFF">
              <w:rPr>
                <w:rFonts w:ascii="TimesNewRoman,Bold" w:hAnsi="TimesNewRoman,Bold"/>
                <w:rtl/>
                <w:lang w:bidi="fa-IR"/>
              </w:rPr>
              <w:softHyphen/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صورت از هفته دوم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 به بعد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 xml:space="preserve"> هیچ نمره ای برای 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دانشجو،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لحاظ نخواهد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538CB" w:rsidRDefault="005538C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F4083" w:rsidRDefault="007C4B7C" w:rsidP="00AF408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5538C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043D9">
        <w:trPr>
          <w:trHeight w:val="1191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720D75" w:rsidP="006A3AB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مقدمه</w:t>
            </w:r>
            <w:r>
              <w:rPr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ای در مورد کاشت و داشت و تاریخچه ماشینهای کاشت و داشت</w:t>
            </w:r>
          </w:p>
          <w:p w:rsidR="00C47146" w:rsidRDefault="00C47146" w:rsidP="009043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720D75" w:rsidRPr="009043D9" w:rsidRDefault="00720D75" w:rsidP="00720D7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>فصل 17</w:t>
            </w:r>
            <w:r w:rsidR="00E005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005BD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E005BD">
              <w:rPr>
                <w:rFonts w:hint="cs"/>
                <w:sz w:val="20"/>
                <w:szCs w:val="22"/>
                <w:rtl/>
                <w:lang w:bidi="fa-IR"/>
              </w:rPr>
              <w:t>از منبع</w:t>
            </w:r>
            <w:r w:rsidR="00E005BD">
              <w:rPr>
                <w:rFonts w:hint="cs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005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720D75" w:rsidP="00A11134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انواع کارنده ها، معرفی ردیف کارها و انواع آنها بر حسب نوع موزع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736F8" w:rsidRPr="005538CB" w:rsidRDefault="00E005BD" w:rsidP="006A3AB6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>فصل 17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فصل 6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43D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720D75" w:rsidP="00720D75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انواع موزع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ها، اصول طراحی یک موزع، ادوات محرک آن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E005BD" w:rsidP="00720D7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>صل 17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6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005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E005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720D75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خطی کارها و انواع آنها،  اصول طراحی اجزای مختلف آن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DB0346" w:rsidRPr="005538CB" w:rsidRDefault="00E005BD" w:rsidP="00C736F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>صل 17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6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720D75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انواع چرخ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فشاردهنده، پوشاننده ها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E005BD" w:rsidP="0004373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>صل 17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6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005BD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720D75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اصول طراحی </w:t>
            </w:r>
            <w:r w:rsidR="00E005BD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بذرپاش ها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E005BD" w:rsidP="008F1FC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>صل 17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6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005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5538CB" w:rsidRDefault="005538CB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E005BD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کارنده های مخصوص (غده کارها و نشاکارها)</w:t>
            </w:r>
          </w:p>
          <w:p w:rsidR="00C47146" w:rsidRDefault="00C736F8" w:rsidP="00EC78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C32AF" w:rsidRPr="005538CB" w:rsidRDefault="00E005BD" w:rsidP="009043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>صل 17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6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6C32AF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حل مسئله و برگزاری امتحان میان ترم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47146" w:rsidP="00EC78C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E005BD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ماشین های وجین کنی و سله شکنی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</w:p>
          <w:p w:rsidR="005538CB" w:rsidRPr="005538CB" w:rsidRDefault="00AF4083" w:rsidP="00E005B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="00E005BD" w:rsidRPr="00720D75">
              <w:rPr>
                <w:rFonts w:hint="cs"/>
                <w:sz w:val="20"/>
                <w:szCs w:val="22"/>
                <w:rtl/>
                <w:lang w:bidi="fa-IR"/>
              </w:rPr>
              <w:t xml:space="preserve">صل </w:t>
            </w:r>
            <w:r w:rsidR="00E005BD">
              <w:rPr>
                <w:rFonts w:hint="cs"/>
                <w:sz w:val="20"/>
                <w:szCs w:val="22"/>
                <w:rtl/>
                <w:lang w:bidi="fa-IR"/>
              </w:rPr>
              <w:t>18</w:t>
            </w:r>
            <w:r w:rsidR="00E005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005BD"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E005BD" w:rsidP="00595763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ماشین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کوپاش، اصول طراحی و کاربرد آن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AF4083" w:rsidP="00AF408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 xml:space="preserve">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19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7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E005BD" w:rsidP="005538CB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E005BD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انواع مختلف موزع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کوپاش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ها، کودپاش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مایع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AF4083" w:rsidP="00AF408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 xml:space="preserve">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19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7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72122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005BD" w:rsidTr="005538CB">
        <w:tc>
          <w:tcPr>
            <w:tcW w:w="344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E005BD" w:rsidRPr="005538CB" w:rsidRDefault="00E005BD" w:rsidP="00E005BD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سم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پاش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مزرعه (معرفی و توصیف)</w:t>
            </w:r>
          </w:p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E005BD" w:rsidRPr="005538CB" w:rsidRDefault="00AF4083" w:rsidP="00AF408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 xml:space="preserve">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20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7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005BD" w:rsidTr="005538CB">
        <w:tc>
          <w:tcPr>
            <w:tcW w:w="344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E005BD" w:rsidRPr="005538CB" w:rsidRDefault="00E005BD" w:rsidP="00E005BD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سم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پاش های هوایی</w:t>
            </w:r>
          </w:p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E005BD" w:rsidRPr="005538CB" w:rsidRDefault="00AF4083" w:rsidP="00AF408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 xml:space="preserve">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20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7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005BD" w:rsidTr="005538CB">
        <w:tc>
          <w:tcPr>
            <w:tcW w:w="344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E005BD" w:rsidRPr="005538CB" w:rsidRDefault="00E005BD" w:rsidP="00E005BD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گردپاش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 و اصول طراحی آنها</w:t>
            </w:r>
          </w:p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E005BD" w:rsidRPr="005538CB" w:rsidRDefault="00AF4083" w:rsidP="00AF408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</w:t>
            </w:r>
            <w:r w:rsidRPr="00720D75">
              <w:rPr>
                <w:rFonts w:hint="cs"/>
                <w:sz w:val="20"/>
                <w:szCs w:val="22"/>
                <w:rtl/>
                <w:lang w:bidi="fa-IR"/>
              </w:rPr>
              <w:t xml:space="preserve">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20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منبع1 و 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7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005BD" w:rsidTr="005538CB">
        <w:tc>
          <w:tcPr>
            <w:tcW w:w="344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E005BD" w:rsidRPr="005538CB" w:rsidRDefault="00E005BD" w:rsidP="00E005BD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حل مسائل مهم و رفع اشکال</w:t>
            </w:r>
          </w:p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E005BD" w:rsidRPr="005538CB" w:rsidRDefault="00E005BD" w:rsidP="00E005BD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792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E005BD" w:rsidRDefault="00E005BD" w:rsidP="00E005B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A2" w:rsidRDefault="009F33A2" w:rsidP="00061A9B">
      <w:pPr>
        <w:spacing w:after="0"/>
      </w:pPr>
      <w:r>
        <w:separator/>
      </w:r>
    </w:p>
  </w:endnote>
  <w:endnote w:type="continuationSeparator" w:id="0">
    <w:p w:rsidR="009F33A2" w:rsidRDefault="009F33A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966" w:rsidRDefault="00E129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08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12966" w:rsidRDefault="00E1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A2" w:rsidRDefault="009F33A2" w:rsidP="00061A9B">
      <w:pPr>
        <w:spacing w:after="0"/>
      </w:pPr>
      <w:r>
        <w:separator/>
      </w:r>
    </w:p>
  </w:footnote>
  <w:footnote w:type="continuationSeparator" w:id="0">
    <w:p w:rsidR="009F33A2" w:rsidRDefault="009F33A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82216F"/>
    <w:multiLevelType w:val="hybridMultilevel"/>
    <w:tmpl w:val="F37EEFF2"/>
    <w:lvl w:ilvl="0" w:tplc="D48CA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3739"/>
    <w:rsid w:val="00047C80"/>
    <w:rsid w:val="00055FF1"/>
    <w:rsid w:val="00061A9B"/>
    <w:rsid w:val="00076463"/>
    <w:rsid w:val="0009615B"/>
    <w:rsid w:val="000F23DA"/>
    <w:rsid w:val="00165901"/>
    <w:rsid w:val="00172122"/>
    <w:rsid w:val="0018085B"/>
    <w:rsid w:val="00197896"/>
    <w:rsid w:val="001A4CEF"/>
    <w:rsid w:val="001B1F97"/>
    <w:rsid w:val="001E2DA0"/>
    <w:rsid w:val="001F48E0"/>
    <w:rsid w:val="00211920"/>
    <w:rsid w:val="00255DD7"/>
    <w:rsid w:val="00261C5C"/>
    <w:rsid w:val="00262DF5"/>
    <w:rsid w:val="002A636E"/>
    <w:rsid w:val="002B0A6E"/>
    <w:rsid w:val="002B35CC"/>
    <w:rsid w:val="002C4CEB"/>
    <w:rsid w:val="002F49C5"/>
    <w:rsid w:val="00310008"/>
    <w:rsid w:val="00314774"/>
    <w:rsid w:val="003354EE"/>
    <w:rsid w:val="00336FDF"/>
    <w:rsid w:val="00362863"/>
    <w:rsid w:val="00363035"/>
    <w:rsid w:val="003B7E12"/>
    <w:rsid w:val="004277B4"/>
    <w:rsid w:val="00443A85"/>
    <w:rsid w:val="00466747"/>
    <w:rsid w:val="00482CA3"/>
    <w:rsid w:val="004A4A5B"/>
    <w:rsid w:val="004C5DB1"/>
    <w:rsid w:val="004D4950"/>
    <w:rsid w:val="004D5045"/>
    <w:rsid w:val="004E2BEE"/>
    <w:rsid w:val="0051290F"/>
    <w:rsid w:val="00517F05"/>
    <w:rsid w:val="00534E45"/>
    <w:rsid w:val="00542AA7"/>
    <w:rsid w:val="005538CB"/>
    <w:rsid w:val="0055615C"/>
    <w:rsid w:val="00563817"/>
    <w:rsid w:val="00576E75"/>
    <w:rsid w:val="00584D52"/>
    <w:rsid w:val="00591019"/>
    <w:rsid w:val="00595763"/>
    <w:rsid w:val="005A7B23"/>
    <w:rsid w:val="005D0BB3"/>
    <w:rsid w:val="005D7AAE"/>
    <w:rsid w:val="00611F6B"/>
    <w:rsid w:val="006365F8"/>
    <w:rsid w:val="006A3AB6"/>
    <w:rsid w:val="006C32AF"/>
    <w:rsid w:val="006F33D4"/>
    <w:rsid w:val="00705D28"/>
    <w:rsid w:val="00720D75"/>
    <w:rsid w:val="007317DD"/>
    <w:rsid w:val="00742F9A"/>
    <w:rsid w:val="00766300"/>
    <w:rsid w:val="00787DA0"/>
    <w:rsid w:val="00793303"/>
    <w:rsid w:val="007B39D6"/>
    <w:rsid w:val="007B7173"/>
    <w:rsid w:val="007C4B7C"/>
    <w:rsid w:val="007D3E26"/>
    <w:rsid w:val="008120F9"/>
    <w:rsid w:val="00853C2F"/>
    <w:rsid w:val="00863C0C"/>
    <w:rsid w:val="0087319C"/>
    <w:rsid w:val="0087560E"/>
    <w:rsid w:val="00897957"/>
    <w:rsid w:val="008A3A76"/>
    <w:rsid w:val="008C3AB5"/>
    <w:rsid w:val="008E0391"/>
    <w:rsid w:val="008F1FC7"/>
    <w:rsid w:val="009043D9"/>
    <w:rsid w:val="00914703"/>
    <w:rsid w:val="00943CA0"/>
    <w:rsid w:val="0098549E"/>
    <w:rsid w:val="0099014B"/>
    <w:rsid w:val="009C0041"/>
    <w:rsid w:val="009C2719"/>
    <w:rsid w:val="009F0C76"/>
    <w:rsid w:val="009F1DA8"/>
    <w:rsid w:val="009F33A2"/>
    <w:rsid w:val="00A02EF0"/>
    <w:rsid w:val="00A11134"/>
    <w:rsid w:val="00A51E3F"/>
    <w:rsid w:val="00AA2723"/>
    <w:rsid w:val="00AB3C79"/>
    <w:rsid w:val="00AC5599"/>
    <w:rsid w:val="00AE2CBE"/>
    <w:rsid w:val="00AF3F62"/>
    <w:rsid w:val="00AF4083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546AE"/>
    <w:rsid w:val="00C60107"/>
    <w:rsid w:val="00C736F8"/>
    <w:rsid w:val="00C82905"/>
    <w:rsid w:val="00CB0411"/>
    <w:rsid w:val="00CB71E5"/>
    <w:rsid w:val="00CC6FDA"/>
    <w:rsid w:val="00CE1F98"/>
    <w:rsid w:val="00CE2DFF"/>
    <w:rsid w:val="00D2144D"/>
    <w:rsid w:val="00D45B4E"/>
    <w:rsid w:val="00D45F38"/>
    <w:rsid w:val="00D50B2B"/>
    <w:rsid w:val="00DB0346"/>
    <w:rsid w:val="00DE2D03"/>
    <w:rsid w:val="00E005BD"/>
    <w:rsid w:val="00E12966"/>
    <w:rsid w:val="00E504B7"/>
    <w:rsid w:val="00E85668"/>
    <w:rsid w:val="00EB76A2"/>
    <w:rsid w:val="00EC78C7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7E7E99"/>
  <w15:chartTrackingRefBased/>
  <w15:docId w15:val="{43D25397-3E4B-4F0B-9D2B-08D20970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6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129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sami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E636-7AE9-4D63-B58B-FFD33D35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Tasvir Pardazesh</cp:lastModifiedBy>
  <cp:revision>3</cp:revision>
  <cp:lastPrinted>2018-10-18T07:14:00Z</cp:lastPrinted>
  <dcterms:created xsi:type="dcterms:W3CDTF">2018-10-19T07:31:00Z</dcterms:created>
  <dcterms:modified xsi:type="dcterms:W3CDTF">2018-10-19T08:15:00Z</dcterms:modified>
</cp:coreProperties>
</file>